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34B92" w14:textId="77777777" w:rsidR="00154298" w:rsidRPr="008E1E25" w:rsidRDefault="00154298">
      <w:pPr>
        <w:pStyle w:val="Header"/>
        <w:tabs>
          <w:tab w:val="clear" w:pos="4320"/>
          <w:tab w:val="clear" w:pos="8640"/>
        </w:tabs>
        <w:rPr>
          <w:rFonts w:ascii="Arial" w:hAnsi="Arial" w:cs="Arial"/>
          <w:szCs w:val="20"/>
        </w:rPr>
      </w:pPr>
    </w:p>
    <w:p w14:paraId="751703D8" w14:textId="77777777" w:rsidR="00154298" w:rsidRPr="008E1E25" w:rsidRDefault="00154298" w:rsidP="00066B3D">
      <w:pPr>
        <w:jc w:val="both"/>
      </w:pPr>
      <w:r w:rsidRPr="008E1E25">
        <w:t>The Idaho Legislature has determined that secondary students should be encouraged to enroll full-time or part-time in nonsectarian courses or programs in eligible postsecondary institutions in order to promote rigorous academic pursuits and to provide a wider variety of options to secondary students.</w:t>
      </w:r>
    </w:p>
    <w:p w14:paraId="0EFB6437" w14:textId="77777777" w:rsidR="00154298" w:rsidRPr="008E1E25" w:rsidRDefault="00154298" w:rsidP="00066B3D">
      <w:pPr>
        <w:jc w:val="both"/>
      </w:pPr>
    </w:p>
    <w:p w14:paraId="5D405770" w14:textId="77777777" w:rsidR="00154298" w:rsidRPr="008E1E25" w:rsidRDefault="00154298" w:rsidP="00066B3D">
      <w:pPr>
        <w:jc w:val="both"/>
      </w:pPr>
      <w:r w:rsidRPr="008E1E25">
        <w:rPr>
          <w:b/>
          <w:bCs/>
        </w:rPr>
        <w:t>DEFINITIONS</w:t>
      </w:r>
      <w:bookmarkStart w:id="0" w:name="_GoBack"/>
      <w:bookmarkEnd w:id="0"/>
    </w:p>
    <w:p w14:paraId="08674C24" w14:textId="77777777" w:rsidR="00154298" w:rsidRPr="008E1E25" w:rsidRDefault="00154298" w:rsidP="00066B3D">
      <w:pPr>
        <w:jc w:val="both"/>
      </w:pPr>
    </w:p>
    <w:p w14:paraId="7DE0BC7E" w14:textId="2205686E" w:rsidR="00154298" w:rsidRPr="008E1E25" w:rsidRDefault="00066B3D" w:rsidP="00066B3D">
      <w:pPr>
        <w:shd w:val="clear" w:color="auto" w:fill="FFFFFF"/>
        <w:spacing w:line="240" w:lineRule="atLeast"/>
        <w:jc w:val="both"/>
        <w:rPr>
          <w:color w:val="000000"/>
          <w:szCs w:val="24"/>
        </w:rPr>
      </w:pPr>
      <w:r w:rsidRPr="008E1E25">
        <w:rPr>
          <w:color w:val="000000"/>
          <w:szCs w:val="24"/>
        </w:rPr>
        <w:t>“</w:t>
      </w:r>
      <w:r w:rsidR="00154298" w:rsidRPr="008E1E25">
        <w:rPr>
          <w:color w:val="000000"/>
          <w:szCs w:val="24"/>
        </w:rPr>
        <w:t>Course</w:t>
      </w:r>
      <w:r w:rsidRPr="008E1E25">
        <w:rPr>
          <w:color w:val="000000"/>
          <w:szCs w:val="24"/>
        </w:rPr>
        <w:t>”</w:t>
      </w:r>
      <w:r w:rsidR="00154298" w:rsidRPr="008E1E25">
        <w:rPr>
          <w:color w:val="000000"/>
          <w:szCs w:val="24"/>
        </w:rPr>
        <w:t xml:space="preserve"> means a course of instruction or a program of instruction.</w:t>
      </w:r>
    </w:p>
    <w:p w14:paraId="31AC2F8D" w14:textId="77777777" w:rsidR="00154298" w:rsidRPr="008E1E25" w:rsidRDefault="00154298" w:rsidP="00066B3D">
      <w:pPr>
        <w:shd w:val="clear" w:color="auto" w:fill="FFFFFF"/>
        <w:spacing w:line="240" w:lineRule="atLeast"/>
        <w:jc w:val="both"/>
        <w:rPr>
          <w:color w:val="000000"/>
          <w:szCs w:val="24"/>
        </w:rPr>
      </w:pPr>
    </w:p>
    <w:p w14:paraId="35A8FEC7" w14:textId="731D9759" w:rsidR="00154298" w:rsidRPr="008E1E25" w:rsidRDefault="00066B3D" w:rsidP="00066B3D">
      <w:pPr>
        <w:shd w:val="clear" w:color="auto" w:fill="FFFFFF"/>
        <w:spacing w:line="240" w:lineRule="atLeast"/>
        <w:jc w:val="both"/>
        <w:rPr>
          <w:color w:val="000000"/>
          <w:szCs w:val="24"/>
        </w:rPr>
      </w:pPr>
      <w:r w:rsidRPr="008E1E25">
        <w:rPr>
          <w:color w:val="000000"/>
          <w:szCs w:val="24"/>
        </w:rPr>
        <w:t>“</w:t>
      </w:r>
      <w:r w:rsidR="00154298" w:rsidRPr="008E1E25">
        <w:rPr>
          <w:color w:val="000000"/>
          <w:szCs w:val="24"/>
        </w:rPr>
        <w:t>Dual credit</w:t>
      </w:r>
      <w:r w:rsidRPr="008E1E25">
        <w:rPr>
          <w:color w:val="000000"/>
          <w:szCs w:val="24"/>
        </w:rPr>
        <w:t>”</w:t>
      </w:r>
      <w:r w:rsidR="00154298" w:rsidRPr="008E1E25">
        <w:rPr>
          <w:color w:val="000000"/>
          <w:szCs w:val="24"/>
        </w:rPr>
        <w:t xml:space="preserve"> means credit awarded to a student on his or her secondary and postsecondary transcript for the completion of a single course.</w:t>
      </w:r>
    </w:p>
    <w:p w14:paraId="2F42E7DE" w14:textId="77777777" w:rsidR="00154298" w:rsidRPr="008E1E25" w:rsidRDefault="00154298" w:rsidP="00066B3D">
      <w:pPr>
        <w:shd w:val="clear" w:color="auto" w:fill="FFFFFF"/>
        <w:spacing w:line="240" w:lineRule="atLeast"/>
        <w:jc w:val="both"/>
        <w:rPr>
          <w:color w:val="000000"/>
          <w:szCs w:val="24"/>
        </w:rPr>
      </w:pPr>
    </w:p>
    <w:p w14:paraId="34C605BE" w14:textId="51B484B9" w:rsidR="00154298" w:rsidRPr="008E1E25" w:rsidRDefault="00066B3D" w:rsidP="00066B3D">
      <w:pPr>
        <w:shd w:val="clear" w:color="auto" w:fill="FFFFFF"/>
        <w:spacing w:line="240" w:lineRule="atLeast"/>
        <w:jc w:val="both"/>
        <w:rPr>
          <w:color w:val="000000"/>
          <w:szCs w:val="24"/>
        </w:rPr>
      </w:pPr>
      <w:r w:rsidRPr="008E1E25">
        <w:rPr>
          <w:color w:val="000000"/>
          <w:szCs w:val="24"/>
        </w:rPr>
        <w:t>“</w:t>
      </w:r>
      <w:r w:rsidR="00154298" w:rsidRPr="008E1E25">
        <w:rPr>
          <w:color w:val="000000"/>
          <w:szCs w:val="24"/>
        </w:rPr>
        <w:t>Eligible institution</w:t>
      </w:r>
      <w:r w:rsidRPr="008E1E25">
        <w:rPr>
          <w:color w:val="000000"/>
          <w:szCs w:val="24"/>
        </w:rPr>
        <w:t>”</w:t>
      </w:r>
      <w:r w:rsidR="00154298" w:rsidRPr="008E1E25">
        <w:rPr>
          <w:color w:val="000000"/>
          <w:szCs w:val="24"/>
        </w:rPr>
        <w:t xml:space="preserve"> means a public or private postsecondary educational institution accredited by an organization recognized by the state board of education.</w:t>
      </w:r>
    </w:p>
    <w:p w14:paraId="2BD7188D" w14:textId="77777777" w:rsidR="00154298" w:rsidRPr="008E1E25" w:rsidRDefault="00154298" w:rsidP="00066B3D">
      <w:pPr>
        <w:shd w:val="clear" w:color="auto" w:fill="FFFFFF"/>
        <w:spacing w:line="240" w:lineRule="atLeast"/>
        <w:jc w:val="both"/>
        <w:rPr>
          <w:color w:val="000000"/>
          <w:szCs w:val="24"/>
        </w:rPr>
      </w:pPr>
    </w:p>
    <w:p w14:paraId="75D59A7B" w14:textId="569A311A" w:rsidR="00154298" w:rsidRPr="008E1E25" w:rsidRDefault="00066B3D" w:rsidP="00066B3D">
      <w:pPr>
        <w:shd w:val="clear" w:color="auto" w:fill="FFFFFF"/>
        <w:spacing w:line="240" w:lineRule="atLeast"/>
        <w:jc w:val="both"/>
        <w:rPr>
          <w:color w:val="000000"/>
          <w:szCs w:val="24"/>
        </w:rPr>
      </w:pPr>
      <w:r w:rsidRPr="008E1E25">
        <w:rPr>
          <w:color w:val="000000"/>
          <w:szCs w:val="24"/>
        </w:rPr>
        <w:t>“</w:t>
      </w:r>
      <w:r w:rsidR="00154298" w:rsidRPr="008E1E25">
        <w:rPr>
          <w:color w:val="000000"/>
          <w:szCs w:val="24"/>
        </w:rPr>
        <w:t>Postsecondary credit</w:t>
      </w:r>
      <w:r w:rsidRPr="008E1E25">
        <w:rPr>
          <w:color w:val="000000"/>
          <w:szCs w:val="24"/>
        </w:rPr>
        <w:t>”</w:t>
      </w:r>
      <w:r w:rsidR="00154298" w:rsidRPr="008E1E25">
        <w:rPr>
          <w:color w:val="000000"/>
          <w:szCs w:val="24"/>
        </w:rPr>
        <w:t xml:space="preserve"> means credit awarded to a student on his or her postsecondary transcript for the completion of a course.</w:t>
      </w:r>
    </w:p>
    <w:p w14:paraId="1E9468E8" w14:textId="77777777" w:rsidR="00154298" w:rsidRPr="008E1E25" w:rsidRDefault="00154298" w:rsidP="00066B3D">
      <w:pPr>
        <w:shd w:val="clear" w:color="auto" w:fill="FFFFFF"/>
        <w:spacing w:line="240" w:lineRule="atLeast"/>
        <w:jc w:val="both"/>
        <w:rPr>
          <w:color w:val="000000"/>
          <w:szCs w:val="24"/>
        </w:rPr>
      </w:pPr>
    </w:p>
    <w:p w14:paraId="3E894873" w14:textId="2EE7FD44" w:rsidR="00154298" w:rsidRPr="008E1E25" w:rsidRDefault="00066B3D" w:rsidP="00066B3D">
      <w:pPr>
        <w:shd w:val="clear" w:color="auto" w:fill="FFFFFF"/>
        <w:spacing w:line="240" w:lineRule="atLeast"/>
        <w:jc w:val="both"/>
        <w:rPr>
          <w:color w:val="000000"/>
          <w:szCs w:val="24"/>
        </w:rPr>
      </w:pPr>
      <w:r w:rsidRPr="008E1E25">
        <w:rPr>
          <w:color w:val="000000"/>
          <w:szCs w:val="24"/>
        </w:rPr>
        <w:t>“</w:t>
      </w:r>
      <w:r w:rsidR="00154298" w:rsidRPr="008E1E25">
        <w:rPr>
          <w:color w:val="000000"/>
          <w:szCs w:val="24"/>
        </w:rPr>
        <w:t>Secondary credit</w:t>
      </w:r>
      <w:r w:rsidRPr="008E1E25">
        <w:rPr>
          <w:color w:val="000000"/>
          <w:szCs w:val="24"/>
        </w:rPr>
        <w:t>”</w:t>
      </w:r>
      <w:r w:rsidR="00154298" w:rsidRPr="008E1E25">
        <w:rPr>
          <w:color w:val="000000"/>
          <w:szCs w:val="24"/>
        </w:rPr>
        <w:t xml:space="preserve"> means credit awarded to a student on his or her secondary transcript for the completion of a course.</w:t>
      </w:r>
    </w:p>
    <w:p w14:paraId="33AD3826" w14:textId="77777777" w:rsidR="00154298" w:rsidRPr="008E1E25" w:rsidRDefault="00154298" w:rsidP="00066B3D">
      <w:pPr>
        <w:shd w:val="clear" w:color="auto" w:fill="FFFFFF"/>
        <w:spacing w:line="240" w:lineRule="atLeast"/>
        <w:jc w:val="both"/>
        <w:rPr>
          <w:color w:val="000000"/>
          <w:szCs w:val="24"/>
        </w:rPr>
      </w:pPr>
    </w:p>
    <w:p w14:paraId="174FD184" w14:textId="574AAD9C" w:rsidR="00154298" w:rsidRPr="008E1E25" w:rsidRDefault="00066B3D" w:rsidP="00066B3D">
      <w:pPr>
        <w:jc w:val="both"/>
        <w:rPr>
          <w:color w:val="000000"/>
          <w:szCs w:val="24"/>
        </w:rPr>
      </w:pPr>
      <w:r w:rsidRPr="008E1E25">
        <w:rPr>
          <w:color w:val="000000"/>
          <w:szCs w:val="24"/>
        </w:rPr>
        <w:t>“</w:t>
      </w:r>
      <w:r w:rsidR="00154298" w:rsidRPr="008E1E25">
        <w:rPr>
          <w:color w:val="000000"/>
          <w:szCs w:val="24"/>
        </w:rPr>
        <w:t>Secondary student</w:t>
      </w:r>
      <w:r w:rsidRPr="008E1E25">
        <w:rPr>
          <w:color w:val="000000"/>
          <w:szCs w:val="24"/>
        </w:rPr>
        <w:t>”</w:t>
      </w:r>
      <w:r w:rsidR="00154298" w:rsidRPr="008E1E25">
        <w:rPr>
          <w:color w:val="000000"/>
          <w:szCs w:val="24"/>
        </w:rPr>
        <w:t xml:space="preserve"> means any student enrolled in grades seven (7) through twelve (12).</w:t>
      </w:r>
    </w:p>
    <w:p w14:paraId="6C2561E8" w14:textId="77777777" w:rsidR="00154298" w:rsidRPr="008E1E25" w:rsidRDefault="00154298" w:rsidP="00066B3D">
      <w:pPr>
        <w:jc w:val="both"/>
        <w:rPr>
          <w:u w:val="single"/>
        </w:rPr>
      </w:pPr>
    </w:p>
    <w:p w14:paraId="712A00E2" w14:textId="77777777" w:rsidR="00154298" w:rsidRPr="008E1E25" w:rsidRDefault="00154298" w:rsidP="00066B3D">
      <w:pPr>
        <w:jc w:val="both"/>
        <w:rPr>
          <w:szCs w:val="24"/>
        </w:rPr>
      </w:pPr>
      <w:r w:rsidRPr="008E1E25">
        <w:rPr>
          <w:b/>
          <w:bCs/>
          <w:szCs w:val="24"/>
        </w:rPr>
        <w:t>ENROLLMENT</w:t>
      </w:r>
    </w:p>
    <w:p w14:paraId="7370C4D3" w14:textId="77777777" w:rsidR="00154298" w:rsidRPr="008E1E25" w:rsidRDefault="00154298" w:rsidP="00066B3D">
      <w:pPr>
        <w:jc w:val="both"/>
        <w:rPr>
          <w:szCs w:val="24"/>
        </w:rPr>
      </w:pPr>
    </w:p>
    <w:p w14:paraId="483BD40E" w14:textId="001BA1F3" w:rsidR="00154298" w:rsidRPr="008E1E25" w:rsidRDefault="00154298" w:rsidP="00066B3D">
      <w:pPr>
        <w:pStyle w:val="1"/>
        <w:numPr>
          <w:ilvl w:val="0"/>
          <w:numId w:val="0"/>
        </w:numPr>
        <w:tabs>
          <w:tab w:val="left" w:pos="-1440"/>
        </w:tabs>
        <w:jc w:val="both"/>
        <w:rPr>
          <w:sz w:val="24"/>
        </w:rPr>
      </w:pPr>
      <w:r w:rsidRPr="008E1E25">
        <w:rPr>
          <w:sz w:val="24"/>
        </w:rPr>
        <w:t>By March 1 of each school year, this district will provide general information regarding postsecondary enrollment options to all secondary students.  Any secondary student enrolled in this district may apply to a postsecondary institution to enroll in nonsectarian courses, including students who have completed course requirements for graduation, but have not received a diploma.  A student who has graduated from high school may not participate in postsecondary enrollment options.</w:t>
      </w:r>
    </w:p>
    <w:p w14:paraId="3A42EB3D" w14:textId="77777777" w:rsidR="00154298" w:rsidRPr="008E1E25" w:rsidRDefault="00154298" w:rsidP="00066B3D">
      <w:pPr>
        <w:jc w:val="both"/>
        <w:rPr>
          <w:szCs w:val="24"/>
        </w:rPr>
      </w:pPr>
    </w:p>
    <w:p w14:paraId="344747F2" w14:textId="77777777" w:rsidR="00154298" w:rsidRPr="008E1E25" w:rsidRDefault="00154298" w:rsidP="00066B3D">
      <w:pPr>
        <w:jc w:val="both"/>
        <w:rPr>
          <w:szCs w:val="24"/>
        </w:rPr>
      </w:pPr>
      <w:r w:rsidRPr="008E1E25">
        <w:rPr>
          <w:szCs w:val="24"/>
        </w:rPr>
        <w:t>If the postsecondary institution accepts a student, it is required by law to send written notice to the student and this district within ten (10) days of acceptance.  The notice will include information regarding the course and hours of enrollment, and, if the student is taking the course for credit, the institution will provide information about payment.</w:t>
      </w:r>
      <w:r w:rsidRPr="008E1E25">
        <w:rPr>
          <w:iCs/>
          <w:szCs w:val="24"/>
        </w:rPr>
        <w:t xml:space="preserve"> </w:t>
      </w:r>
    </w:p>
    <w:p w14:paraId="2D9FDF04" w14:textId="77777777" w:rsidR="00154298" w:rsidRPr="008E1E25" w:rsidRDefault="00154298" w:rsidP="00066B3D">
      <w:pPr>
        <w:jc w:val="both"/>
        <w:rPr>
          <w:szCs w:val="24"/>
        </w:rPr>
      </w:pPr>
    </w:p>
    <w:p w14:paraId="693B5698" w14:textId="77777777" w:rsidR="00154298" w:rsidRPr="008E1E25" w:rsidRDefault="00154298" w:rsidP="00066B3D">
      <w:pPr>
        <w:jc w:val="both"/>
        <w:rPr>
          <w:iCs/>
        </w:rPr>
      </w:pPr>
      <w:r w:rsidRPr="008E1E25">
        <w:rPr>
          <w:iCs/>
        </w:rPr>
        <w:t>The district may make payments or partial payments for courses that are taken for secondary credit.  No payments will be made for courses taken for postsecondary credit only, if a student audits a course, or if a student withdraws during the first fourteen (14) days of the semester.</w:t>
      </w:r>
    </w:p>
    <w:p w14:paraId="247603A0" w14:textId="77777777" w:rsidR="00154298" w:rsidRPr="008E1E25" w:rsidRDefault="00154298" w:rsidP="00066B3D">
      <w:pPr>
        <w:jc w:val="both"/>
        <w:rPr>
          <w:b/>
          <w:bCs/>
        </w:rPr>
      </w:pPr>
    </w:p>
    <w:p w14:paraId="5E75D502" w14:textId="77777777" w:rsidR="00154298" w:rsidRPr="008E1E25" w:rsidRDefault="00154298" w:rsidP="00066B3D">
      <w:pPr>
        <w:jc w:val="both"/>
        <w:rPr>
          <w:b/>
          <w:bCs/>
        </w:rPr>
      </w:pPr>
    </w:p>
    <w:p w14:paraId="69799D4B" w14:textId="77777777" w:rsidR="00154298" w:rsidRPr="008E1E25" w:rsidRDefault="00154298" w:rsidP="00066B3D">
      <w:pPr>
        <w:jc w:val="both"/>
        <w:rPr>
          <w:b/>
          <w:bCs/>
        </w:rPr>
      </w:pPr>
    </w:p>
    <w:p w14:paraId="799431D7" w14:textId="77777777" w:rsidR="00154298" w:rsidRPr="008E1E25" w:rsidRDefault="00154298" w:rsidP="00066B3D">
      <w:pPr>
        <w:jc w:val="both"/>
      </w:pPr>
      <w:r w:rsidRPr="008E1E25">
        <w:rPr>
          <w:b/>
          <w:bCs/>
        </w:rPr>
        <w:lastRenderedPageBreak/>
        <w:t>COUNSELING</w:t>
      </w:r>
    </w:p>
    <w:p w14:paraId="4548FF04" w14:textId="77777777" w:rsidR="00154298" w:rsidRPr="008E1E25" w:rsidRDefault="00154298" w:rsidP="00066B3D">
      <w:pPr>
        <w:jc w:val="both"/>
      </w:pPr>
    </w:p>
    <w:p w14:paraId="1C6C0450" w14:textId="77777777" w:rsidR="00154298" w:rsidRPr="008E1E25" w:rsidRDefault="00154298" w:rsidP="00066B3D">
      <w:pPr>
        <w:jc w:val="both"/>
      </w:pPr>
      <w:r w:rsidRPr="008E1E25">
        <w:t>The district will notify parents or guardians of all students in grades 8 through 12 of the availability of college or career advising provided by the district and how to access such services.</w:t>
      </w:r>
    </w:p>
    <w:p w14:paraId="3EA06591" w14:textId="77777777" w:rsidR="00066B3D" w:rsidRPr="008E1E25" w:rsidRDefault="00066B3D" w:rsidP="00066B3D">
      <w:pPr>
        <w:jc w:val="both"/>
      </w:pPr>
    </w:p>
    <w:p w14:paraId="76EE2BF4" w14:textId="16F2A940" w:rsidR="00154298" w:rsidRPr="008E1E25" w:rsidRDefault="00154298" w:rsidP="00066B3D">
      <w:pPr>
        <w:jc w:val="both"/>
      </w:pPr>
      <w:r w:rsidRPr="008E1E25">
        <w:t>Prior to a student enrolling in courses at a postsecondary institution, this district, to the extent possible, will provide counseling services to students and their parents/guardians to ensure that they are fully aware of the risks and possible consequences of such enrollment. The person providing the counseling will encourage students and their parent/guardian to also use available counseling services at the postsecondary institution prior to the semester of enrollment to ensure that the student</w:t>
      </w:r>
      <w:r w:rsidR="00066B3D" w:rsidRPr="008E1E25">
        <w:t>’</w:t>
      </w:r>
      <w:r w:rsidRPr="008E1E25">
        <w:t xml:space="preserve">s anticipated plans are appropriate and adequate. </w:t>
      </w:r>
    </w:p>
    <w:p w14:paraId="2A192701" w14:textId="77777777" w:rsidR="00154298" w:rsidRPr="008E1E25" w:rsidRDefault="00154298" w:rsidP="00066B3D">
      <w:pPr>
        <w:jc w:val="both"/>
      </w:pPr>
    </w:p>
    <w:p w14:paraId="21FA127A" w14:textId="6CD8A127" w:rsidR="00154298" w:rsidRPr="008E1E25" w:rsidRDefault="00154298" w:rsidP="00066B3D">
      <w:pPr>
        <w:jc w:val="both"/>
      </w:pPr>
      <w:r w:rsidRPr="008E1E25">
        <w:t xml:space="preserve">This district will provide the following information to interested students </w:t>
      </w:r>
      <w:r w:rsidR="001B5972" w:rsidRPr="008E1E25">
        <w:t xml:space="preserve">as a counseling service </w:t>
      </w:r>
      <w:r w:rsidRPr="008E1E25">
        <w:t>prior to enrollment at a postsecondary institution:</w:t>
      </w:r>
    </w:p>
    <w:p w14:paraId="11A3A63E" w14:textId="77777777" w:rsidR="00154298" w:rsidRPr="008E1E25" w:rsidRDefault="00154298" w:rsidP="00066B3D">
      <w:pPr>
        <w:jc w:val="both"/>
        <w:rPr>
          <w:rFonts w:ascii="Arial" w:hAnsi="Arial" w:cs="Arial"/>
        </w:rPr>
      </w:pPr>
    </w:p>
    <w:p w14:paraId="4E2D5CC8"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Who may enroll;</w:t>
      </w:r>
    </w:p>
    <w:p w14:paraId="3D4D50B4" w14:textId="77777777" w:rsidR="00154298" w:rsidRPr="008E1E25" w:rsidRDefault="00154298" w:rsidP="00066B3D">
      <w:pPr>
        <w:ind w:left="720" w:hanging="720"/>
        <w:jc w:val="both"/>
      </w:pPr>
    </w:p>
    <w:p w14:paraId="5A1DE062"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What institutions and sources are available under this program;</w:t>
      </w:r>
    </w:p>
    <w:p w14:paraId="4735E505" w14:textId="77777777" w:rsidR="00154298" w:rsidRPr="008E1E25" w:rsidRDefault="00154298" w:rsidP="00066B3D">
      <w:pPr>
        <w:ind w:left="720" w:hanging="720"/>
        <w:jc w:val="both"/>
      </w:pPr>
    </w:p>
    <w:p w14:paraId="799FCD5A"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The decision-making process for granting academic credits;</w:t>
      </w:r>
    </w:p>
    <w:p w14:paraId="0295DC0D" w14:textId="77777777" w:rsidR="00154298" w:rsidRPr="008E1E25" w:rsidRDefault="00154298" w:rsidP="00066B3D">
      <w:pPr>
        <w:ind w:left="720" w:hanging="720"/>
        <w:jc w:val="both"/>
      </w:pPr>
    </w:p>
    <w:p w14:paraId="4A2796FE"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Financial arrangements for tuition, books, and materials;</w:t>
      </w:r>
    </w:p>
    <w:p w14:paraId="6BD877EC" w14:textId="77777777" w:rsidR="00154298" w:rsidRPr="008E1E25" w:rsidRDefault="00154298" w:rsidP="00066B3D">
      <w:pPr>
        <w:ind w:left="720" w:hanging="720"/>
        <w:jc w:val="both"/>
      </w:pPr>
    </w:p>
    <w:p w14:paraId="6A7D8DEC"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Eligibility criteria for transportation aid;</w:t>
      </w:r>
    </w:p>
    <w:p w14:paraId="6DBA73DE" w14:textId="77777777" w:rsidR="00154298" w:rsidRPr="008E1E25" w:rsidRDefault="00154298" w:rsidP="00066B3D">
      <w:pPr>
        <w:ind w:left="720" w:hanging="720"/>
        <w:jc w:val="both"/>
      </w:pPr>
    </w:p>
    <w:p w14:paraId="24FC0363"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Available support services;</w:t>
      </w:r>
    </w:p>
    <w:p w14:paraId="731AAAA1" w14:textId="77777777" w:rsidR="00154298" w:rsidRPr="008E1E25" w:rsidRDefault="00154298" w:rsidP="00066B3D">
      <w:pPr>
        <w:ind w:left="720" w:hanging="720"/>
        <w:jc w:val="both"/>
      </w:pPr>
    </w:p>
    <w:p w14:paraId="6110CF22"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The need to arrange an appropriate schedule;</w:t>
      </w:r>
    </w:p>
    <w:p w14:paraId="5CE733E0" w14:textId="77777777" w:rsidR="00154298" w:rsidRPr="008E1E25" w:rsidRDefault="00154298" w:rsidP="00066B3D">
      <w:pPr>
        <w:ind w:left="720" w:hanging="720"/>
        <w:jc w:val="both"/>
      </w:pPr>
    </w:p>
    <w:p w14:paraId="2CBE0120"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Consequences of failing or not completing a course in which the student enrolls;</w:t>
      </w:r>
    </w:p>
    <w:p w14:paraId="103DFFEB" w14:textId="77777777" w:rsidR="00154298" w:rsidRPr="008E1E25" w:rsidRDefault="00154298" w:rsidP="00066B3D">
      <w:pPr>
        <w:ind w:left="720" w:hanging="720"/>
        <w:jc w:val="both"/>
      </w:pPr>
    </w:p>
    <w:p w14:paraId="358FA54D" w14:textId="04105E2B" w:rsidR="00154298" w:rsidRPr="008E1E25" w:rsidRDefault="00154298" w:rsidP="00066B3D">
      <w:pPr>
        <w:pStyle w:val="1"/>
        <w:numPr>
          <w:ilvl w:val="0"/>
          <w:numId w:val="2"/>
        </w:numPr>
        <w:tabs>
          <w:tab w:val="left" w:pos="-1440"/>
        </w:tabs>
        <w:ind w:hanging="720"/>
        <w:jc w:val="both"/>
        <w:rPr>
          <w:sz w:val="24"/>
        </w:rPr>
      </w:pPr>
      <w:r w:rsidRPr="008E1E25">
        <w:rPr>
          <w:sz w:val="24"/>
        </w:rPr>
        <w:t>The effect of enrolling in this program on the student</w:t>
      </w:r>
      <w:r w:rsidR="00066B3D" w:rsidRPr="008E1E25">
        <w:rPr>
          <w:sz w:val="24"/>
        </w:rPr>
        <w:t>’</w:t>
      </w:r>
      <w:r w:rsidRPr="008E1E25">
        <w:rPr>
          <w:sz w:val="24"/>
        </w:rPr>
        <w:t>s ability to complete the required high school graduation requirements;</w:t>
      </w:r>
    </w:p>
    <w:p w14:paraId="62C54706" w14:textId="77777777" w:rsidR="00154298" w:rsidRPr="008E1E25" w:rsidRDefault="00154298" w:rsidP="00066B3D">
      <w:pPr>
        <w:pStyle w:val="ColorfulList-Accent11"/>
        <w:jc w:val="both"/>
      </w:pPr>
    </w:p>
    <w:p w14:paraId="45429908"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Financial aid; and</w:t>
      </w:r>
    </w:p>
    <w:p w14:paraId="26F5984E" w14:textId="77777777" w:rsidR="00154298" w:rsidRPr="008E1E25" w:rsidRDefault="00154298" w:rsidP="00066B3D">
      <w:pPr>
        <w:ind w:left="720" w:hanging="720"/>
        <w:jc w:val="both"/>
      </w:pPr>
    </w:p>
    <w:p w14:paraId="36E0BE5B" w14:textId="77777777" w:rsidR="00154298" w:rsidRPr="008E1E25" w:rsidRDefault="00154298" w:rsidP="00066B3D">
      <w:pPr>
        <w:pStyle w:val="1"/>
        <w:numPr>
          <w:ilvl w:val="0"/>
          <w:numId w:val="2"/>
        </w:numPr>
        <w:tabs>
          <w:tab w:val="left" w:pos="-1440"/>
        </w:tabs>
        <w:ind w:hanging="720"/>
        <w:jc w:val="both"/>
        <w:rPr>
          <w:sz w:val="24"/>
        </w:rPr>
      </w:pPr>
      <w:r w:rsidRPr="008E1E25">
        <w:rPr>
          <w:sz w:val="24"/>
        </w:rPr>
        <w:t>The academic and social requirements that must be assumed by the student and the parent/guardian.</w:t>
      </w:r>
    </w:p>
    <w:p w14:paraId="66F3709D" w14:textId="77777777" w:rsidR="00154298" w:rsidRPr="008E1E25" w:rsidRDefault="00154298" w:rsidP="00066B3D">
      <w:pPr>
        <w:jc w:val="both"/>
      </w:pPr>
    </w:p>
    <w:p w14:paraId="243422C9" w14:textId="77777777" w:rsidR="00154298" w:rsidRPr="008E1E25" w:rsidRDefault="00154298" w:rsidP="00066B3D">
      <w:pPr>
        <w:keepNext/>
        <w:jc w:val="both"/>
      </w:pPr>
      <w:r w:rsidRPr="008E1E25">
        <w:rPr>
          <w:b/>
          <w:bCs/>
        </w:rPr>
        <w:t>CREDIT CRITERIA</w:t>
      </w:r>
    </w:p>
    <w:p w14:paraId="7F273422" w14:textId="77777777" w:rsidR="00154298" w:rsidRPr="008E1E25" w:rsidRDefault="00154298" w:rsidP="00066B3D">
      <w:pPr>
        <w:keepNext/>
        <w:jc w:val="both"/>
      </w:pPr>
    </w:p>
    <w:p w14:paraId="1E08089F" w14:textId="77777777" w:rsidR="00154298" w:rsidRPr="008E1E25" w:rsidRDefault="00154298" w:rsidP="00066B3D">
      <w:pPr>
        <w:jc w:val="both"/>
      </w:pPr>
      <w:r w:rsidRPr="008E1E25">
        <w:t>A student may enroll in a postsecondary course for secondary credit, postsecondary credit, or dual credit.  At the time a student enrolls in a course, he or she must designate the type of credit desired.  This district will grant academic credit to a student enrolled in a course for secondary credit if the student successfully completes the course.  The following credit criteria apply:</w:t>
      </w:r>
    </w:p>
    <w:p w14:paraId="353F7070" w14:textId="77777777" w:rsidR="00154298" w:rsidRPr="008E1E25" w:rsidRDefault="00154298" w:rsidP="00066B3D">
      <w:pPr>
        <w:jc w:val="both"/>
        <w:rPr>
          <w:szCs w:val="24"/>
        </w:rPr>
      </w:pPr>
    </w:p>
    <w:p w14:paraId="5DC946C3" w14:textId="77777777" w:rsidR="00154298" w:rsidRPr="008E1E25" w:rsidRDefault="00154298" w:rsidP="00066B3D">
      <w:pPr>
        <w:pStyle w:val="1"/>
        <w:numPr>
          <w:ilvl w:val="0"/>
          <w:numId w:val="1"/>
        </w:numPr>
        <w:tabs>
          <w:tab w:val="left" w:pos="-1440"/>
          <w:tab w:val="num" w:pos="720"/>
        </w:tabs>
        <w:ind w:hanging="720"/>
        <w:jc w:val="both"/>
        <w:rPr>
          <w:sz w:val="24"/>
        </w:rPr>
      </w:pPr>
      <w:r w:rsidRPr="008E1E25">
        <w:rPr>
          <w:sz w:val="24"/>
        </w:rPr>
        <w:lastRenderedPageBreak/>
        <w:t>Secondary credits received at a postsecondary institution will be counted toward the graduation requirements and subject area requirements of this district.</w:t>
      </w:r>
    </w:p>
    <w:p w14:paraId="0DAC8B06" w14:textId="77777777" w:rsidR="00154298" w:rsidRPr="008E1E25" w:rsidRDefault="00154298" w:rsidP="00066B3D">
      <w:pPr>
        <w:ind w:left="720" w:hanging="720"/>
        <w:jc w:val="both"/>
        <w:rPr>
          <w:szCs w:val="24"/>
        </w:rPr>
      </w:pPr>
    </w:p>
    <w:p w14:paraId="2F5E130A" w14:textId="306C93A3" w:rsidR="00154298" w:rsidRPr="008E1E25" w:rsidRDefault="00154298" w:rsidP="00066B3D">
      <w:pPr>
        <w:pStyle w:val="1"/>
        <w:numPr>
          <w:ilvl w:val="0"/>
          <w:numId w:val="1"/>
        </w:numPr>
        <w:tabs>
          <w:tab w:val="left" w:pos="-1440"/>
          <w:tab w:val="num" w:pos="720"/>
        </w:tabs>
        <w:ind w:hanging="720"/>
        <w:jc w:val="both"/>
        <w:rPr>
          <w:sz w:val="24"/>
        </w:rPr>
      </w:pPr>
      <w:r w:rsidRPr="008E1E25">
        <w:rPr>
          <w:sz w:val="24"/>
        </w:rPr>
        <w:t>Each student is required to provide the secondary school with a copy of the student</w:t>
      </w:r>
      <w:r w:rsidR="00066B3D" w:rsidRPr="008E1E25">
        <w:rPr>
          <w:sz w:val="24"/>
        </w:rPr>
        <w:t>’</w:t>
      </w:r>
      <w:r w:rsidRPr="008E1E25">
        <w:rPr>
          <w:sz w:val="24"/>
        </w:rPr>
        <w:t>s grade in each course taken for secondary credit at a postsecondary institution.</w:t>
      </w:r>
    </w:p>
    <w:p w14:paraId="470D2067" w14:textId="77777777" w:rsidR="00154298" w:rsidRPr="008E1E25" w:rsidRDefault="00154298" w:rsidP="00066B3D">
      <w:pPr>
        <w:ind w:left="720" w:hanging="720"/>
        <w:jc w:val="both"/>
        <w:rPr>
          <w:szCs w:val="24"/>
        </w:rPr>
      </w:pPr>
    </w:p>
    <w:p w14:paraId="5DA0EAFB" w14:textId="5660EC02" w:rsidR="00154298" w:rsidRPr="008E1E25" w:rsidRDefault="00154298" w:rsidP="00066B3D">
      <w:pPr>
        <w:pStyle w:val="1"/>
        <w:numPr>
          <w:ilvl w:val="0"/>
          <w:numId w:val="1"/>
        </w:numPr>
        <w:tabs>
          <w:tab w:val="left" w:pos="-1440"/>
          <w:tab w:val="num" w:pos="720"/>
        </w:tabs>
        <w:ind w:hanging="720"/>
        <w:jc w:val="both"/>
        <w:rPr>
          <w:sz w:val="24"/>
        </w:rPr>
      </w:pPr>
      <w:r w:rsidRPr="008E1E25">
        <w:rPr>
          <w:color w:val="000000"/>
          <w:sz w:val="24"/>
          <w:shd w:val="clear" w:color="auto" w:fill="FFFFFF"/>
        </w:rPr>
        <w:t>Evidence of successful completion of each course and secondary credits granted will be included in the student</w:t>
      </w:r>
      <w:r w:rsidR="00066B3D" w:rsidRPr="008E1E25">
        <w:rPr>
          <w:color w:val="000000"/>
          <w:sz w:val="24"/>
          <w:shd w:val="clear" w:color="auto" w:fill="FFFFFF"/>
        </w:rPr>
        <w:t>’</w:t>
      </w:r>
      <w:r w:rsidRPr="008E1E25">
        <w:rPr>
          <w:color w:val="000000"/>
          <w:sz w:val="24"/>
          <w:shd w:val="clear" w:color="auto" w:fill="FFFFFF"/>
        </w:rPr>
        <w:t xml:space="preserve">s secondary school record.  The record will indicate that the credits were earned at a postsecondary institution. </w:t>
      </w:r>
    </w:p>
    <w:p w14:paraId="016377AE" w14:textId="77777777" w:rsidR="00154298" w:rsidRPr="008E1E25" w:rsidRDefault="00154298" w:rsidP="00066B3D">
      <w:pPr>
        <w:pStyle w:val="ColorfulList-Accent11"/>
        <w:jc w:val="both"/>
        <w:rPr>
          <w:color w:val="000000"/>
          <w:szCs w:val="24"/>
          <w:shd w:val="clear" w:color="auto" w:fill="FFFFFF"/>
        </w:rPr>
      </w:pPr>
    </w:p>
    <w:p w14:paraId="5FF2EF2E" w14:textId="3B1C100C" w:rsidR="00154298" w:rsidRPr="008E1E25" w:rsidRDefault="00154298" w:rsidP="00066B3D">
      <w:pPr>
        <w:pStyle w:val="1"/>
        <w:numPr>
          <w:ilvl w:val="0"/>
          <w:numId w:val="1"/>
        </w:numPr>
        <w:tabs>
          <w:tab w:val="left" w:pos="-1440"/>
          <w:tab w:val="num" w:pos="720"/>
        </w:tabs>
        <w:ind w:hanging="720"/>
        <w:jc w:val="both"/>
        <w:rPr>
          <w:sz w:val="24"/>
        </w:rPr>
      </w:pPr>
      <w:r w:rsidRPr="008E1E25">
        <w:rPr>
          <w:color w:val="000000"/>
          <w:sz w:val="24"/>
          <w:shd w:val="clear" w:color="auto" w:fill="FFFFFF"/>
        </w:rPr>
        <w:t>Upon a student</w:t>
      </w:r>
      <w:r w:rsidR="00066B3D" w:rsidRPr="008E1E25">
        <w:rPr>
          <w:color w:val="000000"/>
          <w:sz w:val="24"/>
          <w:shd w:val="clear" w:color="auto" w:fill="FFFFFF"/>
        </w:rPr>
        <w:t>’</w:t>
      </w:r>
      <w:r w:rsidRPr="008E1E25">
        <w:rPr>
          <w:color w:val="000000"/>
          <w:sz w:val="24"/>
          <w:shd w:val="clear" w:color="auto" w:fill="FFFFFF"/>
        </w:rPr>
        <w:t>s request, the student</w:t>
      </w:r>
      <w:r w:rsidR="00066B3D" w:rsidRPr="008E1E25">
        <w:rPr>
          <w:color w:val="000000"/>
          <w:sz w:val="24"/>
          <w:shd w:val="clear" w:color="auto" w:fill="FFFFFF"/>
        </w:rPr>
        <w:t>’</w:t>
      </w:r>
      <w:r w:rsidRPr="008E1E25">
        <w:rPr>
          <w:color w:val="000000"/>
          <w:sz w:val="24"/>
          <w:shd w:val="clear" w:color="auto" w:fill="FFFFFF"/>
        </w:rPr>
        <w:t xml:space="preserve">s secondary school record will also include evidence of successful completion and credits granted for a course taken for postsecondary credit.  The record will indicate that the credits were earned at a postsecondary institution. </w:t>
      </w:r>
    </w:p>
    <w:p w14:paraId="05CE8E8F" w14:textId="77777777" w:rsidR="00154298" w:rsidRPr="008E1E25" w:rsidRDefault="00154298" w:rsidP="00066B3D">
      <w:pPr>
        <w:pStyle w:val="1"/>
        <w:numPr>
          <w:ilvl w:val="0"/>
          <w:numId w:val="0"/>
        </w:numPr>
        <w:tabs>
          <w:tab w:val="left" w:pos="-1440"/>
        </w:tabs>
        <w:jc w:val="both"/>
        <w:rPr>
          <w:sz w:val="24"/>
        </w:rPr>
      </w:pPr>
    </w:p>
    <w:p w14:paraId="603FB088" w14:textId="77777777" w:rsidR="00154298" w:rsidRPr="008E1E25" w:rsidRDefault="00154298" w:rsidP="00066B3D">
      <w:pPr>
        <w:pStyle w:val="1"/>
        <w:numPr>
          <w:ilvl w:val="0"/>
          <w:numId w:val="1"/>
        </w:numPr>
        <w:tabs>
          <w:tab w:val="left" w:pos="-1440"/>
          <w:tab w:val="num" w:pos="720"/>
        </w:tabs>
        <w:ind w:hanging="720"/>
        <w:jc w:val="both"/>
        <w:rPr>
          <w:sz w:val="24"/>
        </w:rPr>
      </w:pPr>
      <w:r w:rsidRPr="008E1E25">
        <w:rPr>
          <w:sz w:val="24"/>
        </w:rPr>
        <w:t>Four (4) semester college credits equal at least one (1) full year (two (2) semester credits) of high school credit in that subject.  Fewer college credits may be prorated at the discretion of the building principal.</w:t>
      </w:r>
    </w:p>
    <w:p w14:paraId="06642E2C" w14:textId="77777777" w:rsidR="00154298" w:rsidRPr="008E1E25" w:rsidRDefault="00154298" w:rsidP="00066B3D">
      <w:pPr>
        <w:ind w:left="720" w:hanging="720"/>
        <w:jc w:val="both"/>
        <w:rPr>
          <w:szCs w:val="24"/>
        </w:rPr>
      </w:pPr>
    </w:p>
    <w:p w14:paraId="4C4BFC84" w14:textId="77777777" w:rsidR="00154298" w:rsidRPr="008E1E25" w:rsidRDefault="00154298" w:rsidP="00066B3D">
      <w:pPr>
        <w:pStyle w:val="1"/>
        <w:widowControl/>
        <w:numPr>
          <w:ilvl w:val="0"/>
          <w:numId w:val="1"/>
        </w:numPr>
        <w:tabs>
          <w:tab w:val="left" w:pos="-1440"/>
          <w:tab w:val="num" w:pos="720"/>
        </w:tabs>
        <w:ind w:hanging="720"/>
        <w:jc w:val="both"/>
        <w:rPr>
          <w:sz w:val="24"/>
        </w:rPr>
      </w:pPr>
      <w:r w:rsidRPr="008E1E25">
        <w:rPr>
          <w:sz w:val="24"/>
        </w:rPr>
        <w:t>If a student enrolls in the same postsecondary institution from which he or she received secondary credits, the institution will award, without charge, postsecondary credit for any course successfully competed.  Other postsecondary institutions may award such credits, without charge, at their discretion.</w:t>
      </w:r>
    </w:p>
    <w:p w14:paraId="1A232614" w14:textId="77777777" w:rsidR="00154298" w:rsidRPr="008E1E25" w:rsidRDefault="00154298">
      <w:pPr>
        <w:pStyle w:val="Header"/>
        <w:tabs>
          <w:tab w:val="clear" w:pos="4320"/>
          <w:tab w:val="clear" w:pos="8640"/>
        </w:tabs>
      </w:pPr>
    </w:p>
    <w:p w14:paraId="517883BD" w14:textId="77777777" w:rsidR="00154298" w:rsidRPr="008E1E25" w:rsidRDefault="00154298">
      <w:pPr>
        <w:pStyle w:val="Header"/>
        <w:tabs>
          <w:tab w:val="clear" w:pos="4320"/>
          <w:tab w:val="clear" w:pos="8640"/>
        </w:tabs>
        <w:jc w:val="center"/>
        <w:rPr>
          <w:rFonts w:ascii="Arial" w:hAnsi="Arial" w:cs="Arial"/>
          <w:b/>
          <w:bCs/>
          <w:sz w:val="28"/>
        </w:rPr>
      </w:pPr>
      <w:r w:rsidRPr="008E1E25">
        <w:rPr>
          <w:rFonts w:ascii="Arial" w:hAnsi="Arial" w:cs="Arial"/>
          <w:b/>
          <w:bCs/>
          <w:sz w:val="28"/>
        </w:rPr>
        <w:t>♦ ♦ ♦ ♦ ♦ ♦ ♦</w:t>
      </w:r>
    </w:p>
    <w:p w14:paraId="1762C586" w14:textId="77777777" w:rsidR="00154298" w:rsidRPr="008E1E25" w:rsidRDefault="00154298">
      <w:pPr>
        <w:pStyle w:val="Header"/>
        <w:tabs>
          <w:tab w:val="clear" w:pos="4320"/>
          <w:tab w:val="clear" w:pos="8640"/>
        </w:tabs>
        <w:rPr>
          <w:rFonts w:ascii="Arial" w:hAnsi="Arial" w:cs="Arial"/>
        </w:rPr>
      </w:pPr>
    </w:p>
    <w:p w14:paraId="434073AE" w14:textId="77777777" w:rsidR="00154298" w:rsidRPr="008E1E25" w:rsidRDefault="00154298">
      <w:pPr>
        <w:pStyle w:val="Header"/>
        <w:tabs>
          <w:tab w:val="clear" w:pos="4320"/>
          <w:tab w:val="clear" w:pos="8640"/>
        </w:tabs>
        <w:rPr>
          <w:rFonts w:ascii="Arial" w:hAnsi="Arial" w:cs="Arial"/>
          <w:b/>
          <w:bCs/>
        </w:rPr>
      </w:pPr>
      <w:r w:rsidRPr="008E1E25">
        <w:rPr>
          <w:rFonts w:ascii="Arial" w:hAnsi="Arial" w:cs="Arial"/>
          <w:b/>
          <w:bCs/>
        </w:rPr>
        <w:t>LEGAL REFERENCE:</w:t>
      </w:r>
    </w:p>
    <w:p w14:paraId="1AA2B76D" w14:textId="77777777" w:rsidR="00154298" w:rsidRPr="008E1E25" w:rsidRDefault="00154298">
      <w:r w:rsidRPr="008E1E25">
        <w:t xml:space="preserve">Idaho Code Sections </w:t>
      </w:r>
    </w:p>
    <w:p w14:paraId="6F638292" w14:textId="77777777" w:rsidR="00154298" w:rsidRPr="008E1E25" w:rsidRDefault="00154298">
      <w:r w:rsidRPr="008E1E25">
        <w:tab/>
        <w:t xml:space="preserve">33-1401 – Definitions </w:t>
      </w:r>
    </w:p>
    <w:p w14:paraId="57952129" w14:textId="77777777" w:rsidR="00154298" w:rsidRPr="008E1E25" w:rsidRDefault="00154298" w:rsidP="00154298">
      <w:pPr>
        <w:ind w:firstLine="720"/>
        <w:rPr>
          <w:iCs/>
        </w:rPr>
      </w:pPr>
      <w:r w:rsidRPr="008E1E25">
        <w:t xml:space="preserve">33-5101, </w:t>
      </w:r>
      <w:r w:rsidRPr="008E1E25">
        <w:rPr>
          <w:iCs/>
        </w:rPr>
        <w:t>et seq. – Postsecondary Enrollment Options</w:t>
      </w:r>
    </w:p>
    <w:p w14:paraId="0F260122" w14:textId="77777777" w:rsidR="00154298" w:rsidRPr="008E1E25" w:rsidRDefault="00154298" w:rsidP="00154298">
      <w:pPr>
        <w:ind w:firstLine="720"/>
        <w:rPr>
          <w:iCs/>
        </w:rPr>
      </w:pPr>
      <w:r w:rsidRPr="008E1E25">
        <w:rPr>
          <w:iCs/>
        </w:rPr>
        <w:t>33-5103, as amended by HB245, Session Law Chapter 288, 2015 Legislature</w:t>
      </w:r>
    </w:p>
    <w:p w14:paraId="400623A8" w14:textId="77777777" w:rsidR="00154298" w:rsidRPr="008E1E25" w:rsidRDefault="00154298" w:rsidP="00154298">
      <w:pPr>
        <w:ind w:firstLine="720"/>
      </w:pPr>
      <w:r w:rsidRPr="008E1E25">
        <w:rPr>
          <w:iCs/>
        </w:rPr>
        <w:t>33-1212A, as added by HB 313, Session Law Chapter 314, 2015 Legislature</w:t>
      </w:r>
    </w:p>
    <w:p w14:paraId="4692C79C" w14:textId="77777777" w:rsidR="00154298" w:rsidRPr="008E1E25" w:rsidRDefault="00154298">
      <w:pPr>
        <w:pStyle w:val="Header"/>
        <w:tabs>
          <w:tab w:val="clear" w:pos="4320"/>
          <w:tab w:val="clear" w:pos="8640"/>
        </w:tabs>
      </w:pPr>
    </w:p>
    <w:p w14:paraId="080094E0" w14:textId="4A6904BD" w:rsidR="00154298" w:rsidRPr="008E1E25" w:rsidRDefault="00154298">
      <w:pPr>
        <w:pStyle w:val="Header"/>
        <w:tabs>
          <w:tab w:val="clear" w:pos="4320"/>
          <w:tab w:val="clear" w:pos="8640"/>
        </w:tabs>
        <w:rPr>
          <w:rFonts w:ascii="Arial" w:hAnsi="Arial" w:cs="Arial"/>
        </w:rPr>
      </w:pPr>
      <w:r w:rsidRPr="008E1E25">
        <w:rPr>
          <w:rFonts w:ascii="Arial" w:hAnsi="Arial" w:cs="Arial"/>
          <w:b/>
          <w:bCs/>
        </w:rPr>
        <w:t>ADOPTED:</w:t>
      </w:r>
      <w:r w:rsidR="008E1E25" w:rsidRPr="008E1E25">
        <w:rPr>
          <w:rFonts w:ascii="Arial" w:hAnsi="Arial" w:cs="Arial"/>
          <w:b/>
          <w:bCs/>
        </w:rPr>
        <w:t xml:space="preserve"> September 8, 2003</w:t>
      </w:r>
      <w:r w:rsidRPr="008E1E25">
        <w:rPr>
          <w:rFonts w:ascii="Arial" w:hAnsi="Arial" w:cs="Arial"/>
          <w:b/>
          <w:bCs/>
        </w:rPr>
        <w:tab/>
      </w:r>
    </w:p>
    <w:p w14:paraId="195C09C1" w14:textId="77777777" w:rsidR="00154298" w:rsidRPr="008E1E25" w:rsidRDefault="00154298">
      <w:pPr>
        <w:pStyle w:val="Header"/>
        <w:tabs>
          <w:tab w:val="clear" w:pos="4320"/>
          <w:tab w:val="clear" w:pos="8640"/>
        </w:tabs>
        <w:rPr>
          <w:rFonts w:ascii="Arial" w:hAnsi="Arial" w:cs="Arial"/>
        </w:rPr>
      </w:pPr>
    </w:p>
    <w:p w14:paraId="39E79A95" w14:textId="77777777" w:rsidR="008E1E25" w:rsidRPr="008E1E25" w:rsidRDefault="00154298">
      <w:pPr>
        <w:pStyle w:val="Header"/>
        <w:tabs>
          <w:tab w:val="clear" w:pos="4320"/>
          <w:tab w:val="clear" w:pos="8640"/>
        </w:tabs>
        <w:rPr>
          <w:rFonts w:ascii="Arial" w:hAnsi="Arial" w:cs="Arial"/>
          <w:b/>
          <w:bCs/>
        </w:rPr>
      </w:pPr>
      <w:r w:rsidRPr="008E1E25">
        <w:rPr>
          <w:rFonts w:ascii="Arial" w:hAnsi="Arial" w:cs="Arial"/>
          <w:b/>
          <w:bCs/>
        </w:rPr>
        <w:t>AMENDED:</w:t>
      </w:r>
      <w:r w:rsidR="008E1E25" w:rsidRPr="008E1E25">
        <w:rPr>
          <w:rFonts w:ascii="Arial" w:hAnsi="Arial" w:cs="Arial"/>
          <w:b/>
          <w:bCs/>
        </w:rPr>
        <w:t xml:space="preserve"> November 10, 2014</w:t>
      </w:r>
    </w:p>
    <w:p w14:paraId="05F56404" w14:textId="77777777" w:rsidR="008E1E25" w:rsidRPr="008E1E25" w:rsidRDefault="008E1E25">
      <w:pPr>
        <w:pStyle w:val="Header"/>
        <w:tabs>
          <w:tab w:val="clear" w:pos="4320"/>
          <w:tab w:val="clear" w:pos="8640"/>
        </w:tabs>
        <w:rPr>
          <w:rFonts w:ascii="Arial" w:hAnsi="Arial" w:cs="Arial"/>
          <w:b/>
          <w:bCs/>
        </w:rPr>
      </w:pPr>
    </w:p>
    <w:p w14:paraId="7AEEE350" w14:textId="320A9E15" w:rsidR="00154298" w:rsidRPr="008E1E25" w:rsidRDefault="008E1E25">
      <w:pPr>
        <w:pStyle w:val="Header"/>
        <w:tabs>
          <w:tab w:val="clear" w:pos="4320"/>
          <w:tab w:val="clear" w:pos="8640"/>
        </w:tabs>
        <w:rPr>
          <w:rFonts w:ascii="Arial" w:hAnsi="Arial" w:cs="Arial"/>
          <w:b/>
          <w:bCs/>
        </w:rPr>
      </w:pPr>
      <w:r w:rsidRPr="008E1E25">
        <w:rPr>
          <w:rFonts w:ascii="Arial" w:hAnsi="Arial" w:cs="Arial"/>
          <w:b/>
          <w:bCs/>
        </w:rPr>
        <w:t>AMENDED: October 12, 2015</w:t>
      </w:r>
      <w:r w:rsidR="00154298" w:rsidRPr="008E1E25">
        <w:rPr>
          <w:rFonts w:ascii="Arial" w:hAnsi="Arial" w:cs="Arial"/>
          <w:b/>
          <w:bCs/>
        </w:rPr>
        <w:tab/>
      </w:r>
    </w:p>
    <w:p w14:paraId="399368BA" w14:textId="77777777" w:rsidR="00154298" w:rsidRDefault="00154298">
      <w:pPr>
        <w:pStyle w:val="Header"/>
        <w:tabs>
          <w:tab w:val="clear" w:pos="4320"/>
          <w:tab w:val="clear" w:pos="8640"/>
        </w:tabs>
        <w:rPr>
          <w:rFonts w:ascii="Arial" w:hAnsi="Arial" w:cs="Arial"/>
          <w:b/>
          <w:bCs/>
        </w:rPr>
      </w:pPr>
    </w:p>
    <w:p w14:paraId="23D436FA" w14:textId="77777777" w:rsidR="00154298" w:rsidRPr="000267A8" w:rsidRDefault="00154298" w:rsidP="00154298">
      <w:pPr>
        <w:pStyle w:val="Header"/>
      </w:pPr>
    </w:p>
    <w:sectPr w:rsidR="00154298" w:rsidRPr="000267A8">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05805" w14:textId="77777777" w:rsidR="00D67EE0" w:rsidRDefault="00D67EE0" w:rsidP="00154298">
      <w:pPr>
        <w:pStyle w:val="Header"/>
      </w:pPr>
      <w:r>
        <w:separator/>
      </w:r>
    </w:p>
  </w:endnote>
  <w:endnote w:type="continuationSeparator" w:id="0">
    <w:p w14:paraId="02AA08E1" w14:textId="77777777" w:rsidR="00D67EE0" w:rsidRDefault="00D67EE0" w:rsidP="00154298">
      <w:pPr>
        <w:pStyle w:val="Header"/>
      </w:pPr>
      <w:r>
        <w:continuationSeparator/>
      </w:r>
    </w:p>
  </w:endnote>
  <w:endnote w:type="continuationNotice" w:id="1">
    <w:p w14:paraId="591A5063" w14:textId="77777777" w:rsidR="00D67EE0" w:rsidRDefault="00D67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156C" w14:textId="77777777" w:rsidR="00154298" w:rsidRDefault="00154298" w:rsidP="00154298">
    <w:pPr>
      <w:pStyle w:val="Footer"/>
      <w:pBdr>
        <w:bottom w:val="single" w:sz="12" w:space="1" w:color="auto"/>
      </w:pBdr>
      <w:rPr>
        <w:rFonts w:ascii="Arial" w:hAnsi="Arial" w:cs="Arial"/>
        <w:b/>
        <w:bCs/>
      </w:rPr>
    </w:pPr>
  </w:p>
  <w:p w14:paraId="19FE8E47" w14:textId="1AEF3795" w:rsidR="00154298" w:rsidRDefault="00154298" w:rsidP="00066B3D">
    <w:pPr>
      <w:pStyle w:val="Footer"/>
      <w:tabs>
        <w:tab w:val="clear" w:pos="4320"/>
        <w:tab w:val="clear" w:pos="8640"/>
        <w:tab w:val="left" w:pos="9090"/>
      </w:tabs>
      <w:ind w:right="-450"/>
      <w:rPr>
        <w:rFonts w:ascii="Arial" w:hAnsi="Arial" w:cs="Arial"/>
        <w:sz w:val="20"/>
      </w:rPr>
    </w:pPr>
    <w:r>
      <w:rPr>
        <w:rFonts w:ascii="Arial" w:hAnsi="Arial" w:cs="Arial"/>
        <w:b/>
        <w:bCs/>
      </w:rPr>
      <w:t>SECTION 600: EDUCATIONAL PROGRAMS</w:t>
    </w:r>
    <w:r w:rsidR="00066B3D">
      <w:rPr>
        <w:rFonts w:ascii="Arial" w:hAnsi="Arial" w:cs="Arial"/>
        <w:b/>
        <w:bCs/>
      </w:rPr>
      <w:t xml:space="preserve"> </w:t>
    </w:r>
    <w:r>
      <w:rPr>
        <w:rFonts w:ascii="Arial" w:hAnsi="Arial" w:cs="Arial"/>
      </w:rPr>
      <w:t>© 201</w:t>
    </w:r>
    <w:r w:rsidR="008D5994">
      <w:rPr>
        <w:rFonts w:ascii="Arial" w:hAnsi="Arial" w:cs="Arial"/>
      </w:rPr>
      <w:t>5</w:t>
    </w:r>
    <w:r>
      <w:rPr>
        <w:rFonts w:ascii="Arial" w:hAnsi="Arial" w:cs="Arial"/>
      </w:rPr>
      <w:t xml:space="preserve"> </w:t>
    </w:r>
    <w:r w:rsidR="008D5994">
      <w:rPr>
        <w:rFonts w:ascii="Arial" w:hAnsi="Arial" w:cs="Arial"/>
      </w:rPr>
      <w:t xml:space="preserve">Moore Smith Buxton &amp; </w:t>
    </w:r>
    <w:proofErr w:type="spellStart"/>
    <w:r w:rsidR="008D5994">
      <w:rPr>
        <w:rFonts w:ascii="Arial" w:hAnsi="Arial" w:cs="Arial"/>
      </w:rPr>
      <w:t>Turcke</w:t>
    </w:r>
    <w:proofErr w:type="spellEnd"/>
    <w:r w:rsidR="008D5994">
      <w:rPr>
        <w:rFonts w:ascii="Arial" w:hAnsi="Arial" w:cs="Arial"/>
      </w:rPr>
      <w:t xml:space="preserve">, </w:t>
    </w:r>
    <w:proofErr w:type="spellStart"/>
    <w:r w:rsidR="008D5994">
      <w:rPr>
        <w:rFonts w:ascii="Arial" w:hAnsi="Arial" w:cs="Arial"/>
      </w:rPr>
      <w:t>Chtd</w:t>
    </w:r>
    <w:proofErr w:type="spellEnd"/>
    <w:r w:rsidR="008D5994">
      <w:rPr>
        <w:rFonts w:ascii="Arial" w:hAnsi="Arial" w:cs="Arial"/>
      </w:rPr>
      <w:t>.</w:t>
    </w:r>
  </w:p>
  <w:p w14:paraId="55A4FC8E" w14:textId="77777777" w:rsidR="00154298" w:rsidRPr="00B26D3E" w:rsidRDefault="00154298" w:rsidP="00154298">
    <w:pPr>
      <w:pStyle w:val="Footer"/>
      <w:tabs>
        <w:tab w:val="clear" w:pos="4320"/>
        <w:tab w:val="clear" w:pos="8640"/>
        <w:tab w:val="right" w:pos="9360"/>
      </w:tabs>
      <w:jc w:val="right"/>
      <w:rPr>
        <w:rFonts w:ascii="Arial" w:hAnsi="Arial" w:cs="Arial"/>
      </w:rPr>
    </w:pPr>
    <w:r>
      <w:rPr>
        <w:rFonts w:ascii="Arial" w:hAnsi="Arial" w:cs="Arial"/>
        <w:sz w:val="16"/>
      </w:rPr>
      <w:t>98L-97L-D2/12/98-M7/29/98-SC6/16/98-M08/01/14</w:t>
    </w:r>
    <w:r w:rsidR="00772DDA">
      <w:rPr>
        <w:rFonts w:ascii="Arial" w:hAnsi="Arial" w:cs="Arial"/>
        <w:sz w:val="16"/>
      </w:rPr>
      <w:t>-M07/28/15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57E" w14:textId="77777777" w:rsidR="00154298" w:rsidRDefault="00154298" w:rsidP="00154298">
    <w:pPr>
      <w:pStyle w:val="Footer"/>
      <w:pBdr>
        <w:bottom w:val="single" w:sz="12" w:space="1" w:color="auto"/>
      </w:pBdr>
      <w:rPr>
        <w:rFonts w:ascii="Arial" w:hAnsi="Arial" w:cs="Arial"/>
        <w:b/>
        <w:bCs/>
      </w:rPr>
    </w:pPr>
  </w:p>
  <w:p w14:paraId="1DB21AE3" w14:textId="199219A0" w:rsidR="00154298" w:rsidRPr="00D67EE0" w:rsidRDefault="00154298" w:rsidP="00066B3D">
    <w:pPr>
      <w:pStyle w:val="Footer"/>
      <w:tabs>
        <w:tab w:val="clear" w:pos="4320"/>
        <w:tab w:val="clear" w:pos="8640"/>
        <w:tab w:val="right" w:pos="9270"/>
      </w:tabs>
      <w:ind w:right="-450"/>
      <w:rPr>
        <w:rFonts w:ascii="Arial" w:hAnsi="Arial" w:cs="Arial"/>
        <w:sz w:val="20"/>
        <w:highlight w:val="yellow"/>
      </w:rPr>
    </w:pPr>
    <w:r>
      <w:rPr>
        <w:rFonts w:ascii="Arial" w:hAnsi="Arial" w:cs="Arial"/>
        <w:b/>
        <w:bCs/>
      </w:rPr>
      <w:t>SECTION 600: EDUCATIONAL PROGRAMS</w:t>
    </w:r>
    <w:r>
      <w:rPr>
        <w:rFonts w:ascii="Arial" w:hAnsi="Arial" w:cs="Arial"/>
        <w:b/>
        <w:bCs/>
      </w:rPr>
      <w:tab/>
    </w:r>
    <w:r w:rsidR="00066B3D">
      <w:rPr>
        <w:rFonts w:ascii="Arial" w:hAnsi="Arial" w:cs="Arial"/>
        <w:b/>
        <w:bCs/>
      </w:rPr>
      <w:t xml:space="preserve"> </w:t>
    </w:r>
    <w:r w:rsidRPr="00066B3D">
      <w:rPr>
        <w:rFonts w:ascii="Arial" w:hAnsi="Arial" w:cs="Arial"/>
      </w:rPr>
      <w:t xml:space="preserve">© </w:t>
    </w:r>
    <w:r w:rsidR="00772DDA">
      <w:rPr>
        <w:rFonts w:ascii="Arial" w:hAnsi="Arial" w:cs="Arial"/>
      </w:rPr>
      <w:t xml:space="preserve">2015 Moore Smith Buxton &amp; </w:t>
    </w:r>
    <w:proofErr w:type="spellStart"/>
    <w:r w:rsidR="00772DDA">
      <w:rPr>
        <w:rFonts w:ascii="Arial" w:hAnsi="Arial" w:cs="Arial"/>
      </w:rPr>
      <w:t>Turcke</w:t>
    </w:r>
    <w:proofErr w:type="spellEnd"/>
    <w:r w:rsidR="00772DDA">
      <w:rPr>
        <w:rFonts w:ascii="Arial" w:hAnsi="Arial" w:cs="Arial"/>
      </w:rPr>
      <w:t xml:space="preserve">, </w:t>
    </w:r>
    <w:proofErr w:type="spellStart"/>
    <w:r w:rsidR="00772DDA">
      <w:rPr>
        <w:rFonts w:ascii="Arial" w:hAnsi="Arial" w:cs="Arial"/>
      </w:rPr>
      <w:t>Chtd</w:t>
    </w:r>
    <w:proofErr w:type="spellEnd"/>
    <w:r w:rsidR="00772DDA">
      <w:rPr>
        <w:rFonts w:ascii="Arial" w:hAnsi="Arial" w:cs="Arial"/>
      </w:rPr>
      <w:t>.</w:t>
    </w:r>
  </w:p>
  <w:p w14:paraId="54BE3075" w14:textId="14EDC141" w:rsidR="00154298" w:rsidRDefault="00066B3D" w:rsidP="00154298">
    <w:pPr>
      <w:pStyle w:val="Footer"/>
      <w:tabs>
        <w:tab w:val="clear" w:pos="4320"/>
        <w:tab w:val="clear" w:pos="8640"/>
        <w:tab w:val="right" w:pos="9360"/>
      </w:tabs>
      <w:jc w:val="right"/>
      <w:rPr>
        <w:rFonts w:ascii="Arial" w:hAnsi="Arial" w:cs="Arial"/>
      </w:rPr>
    </w:pPr>
    <w:r>
      <w:rPr>
        <w:rFonts w:ascii="Arial" w:hAnsi="Arial" w:cs="Arial"/>
        <w:sz w:val="16"/>
      </w:rPr>
      <w:t xml:space="preserve"> </w:t>
    </w:r>
    <w:r w:rsidR="00154298" w:rsidRPr="00066B3D">
      <w:rPr>
        <w:rFonts w:ascii="Arial" w:hAnsi="Arial" w:cs="Arial"/>
        <w:sz w:val="16"/>
      </w:rPr>
      <w:t>98L-97L-D2/12/98-M7/29/98-SC6/16/98-M08/01/14</w:t>
    </w:r>
    <w:r w:rsidR="00772DDA" w:rsidRPr="00066B3D">
      <w:rPr>
        <w:rFonts w:ascii="Arial" w:hAnsi="Arial" w:cs="Arial"/>
        <w:sz w:val="16"/>
      </w:rPr>
      <w:t>-M07/28/15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6BC24" w14:textId="77777777" w:rsidR="00D67EE0" w:rsidRDefault="00D67EE0" w:rsidP="00154298">
      <w:pPr>
        <w:pStyle w:val="Header"/>
      </w:pPr>
      <w:r>
        <w:separator/>
      </w:r>
    </w:p>
  </w:footnote>
  <w:footnote w:type="continuationSeparator" w:id="0">
    <w:p w14:paraId="6BD776AE" w14:textId="77777777" w:rsidR="00D67EE0" w:rsidRDefault="00D67EE0" w:rsidP="00154298">
      <w:pPr>
        <w:pStyle w:val="Header"/>
      </w:pPr>
      <w:r>
        <w:continuationSeparator/>
      </w:r>
    </w:p>
  </w:footnote>
  <w:footnote w:type="continuationNotice" w:id="1">
    <w:p w14:paraId="69DA929C" w14:textId="77777777" w:rsidR="00D67EE0" w:rsidRDefault="00D67E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1FBC" w14:textId="77777777" w:rsidR="00154298" w:rsidRDefault="00154298" w:rsidP="00154298">
    <w:pPr>
      <w:pStyle w:val="Header"/>
      <w:pBdr>
        <w:bottom w:val="single" w:sz="12" w:space="1" w:color="auto"/>
      </w:pBdr>
      <w:tabs>
        <w:tab w:val="clear" w:pos="4320"/>
        <w:tab w:val="clear" w:pos="8640"/>
        <w:tab w:val="right" w:pos="9360"/>
      </w:tabs>
      <w:rPr>
        <w:rStyle w:val="PageNumber"/>
        <w:rFonts w:ascii="Arial" w:hAnsi="Arial" w:cs="Arial"/>
      </w:rPr>
    </w:pPr>
    <w:r>
      <w:rPr>
        <w:rFonts w:ascii="Arial" w:hAnsi="Arial" w:cs="Arial"/>
        <w:b/>
        <w:bCs/>
      </w:rPr>
      <w:t>Postsecondary Enrollment Options—</w:t>
    </w:r>
    <w:r>
      <w:rPr>
        <w:rFonts w:ascii="Arial" w:hAnsi="Arial" w:cs="Arial"/>
        <w:i/>
        <w:iCs/>
      </w:rPr>
      <w:t>continued</w:t>
    </w:r>
    <w:r>
      <w:rPr>
        <w:rFonts w:ascii="Arial" w:hAnsi="Arial" w:cs="Arial"/>
        <w:i/>
        <w:iCs/>
      </w:rPr>
      <w:tab/>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1E25">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3</w:t>
    </w:r>
  </w:p>
  <w:p w14:paraId="6EEF4E01" w14:textId="77777777" w:rsidR="00154298" w:rsidRDefault="00154298" w:rsidP="00154298">
    <w:pPr>
      <w:pStyle w:val="Header"/>
    </w:pPr>
  </w:p>
  <w:p w14:paraId="6D906CFA" w14:textId="77777777" w:rsidR="00154298" w:rsidRDefault="00154298" w:rsidP="00154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80"/>
      <w:gridCol w:w="5040"/>
      <w:gridCol w:w="2380"/>
    </w:tblGrid>
    <w:tr w:rsidR="00154298" w14:paraId="08A5B722" w14:textId="77777777">
      <w:trPr>
        <w:cantSplit/>
      </w:trPr>
      <w:tc>
        <w:tcPr>
          <w:tcW w:w="1980" w:type="dxa"/>
        </w:tcPr>
        <w:p w14:paraId="17162ABF" w14:textId="77777777" w:rsidR="00154298" w:rsidRDefault="00154298" w:rsidP="00154298">
          <w:pPr>
            <w:pStyle w:val="Header"/>
            <w:rPr>
              <w:rFonts w:ascii="Arial" w:hAnsi="Arial" w:cs="Arial"/>
              <w:b/>
              <w:bCs/>
              <w:sz w:val="16"/>
            </w:rPr>
          </w:pPr>
        </w:p>
        <w:p w14:paraId="4872AF50" w14:textId="77777777" w:rsidR="00154298" w:rsidRDefault="00154298" w:rsidP="00154298">
          <w:pPr>
            <w:pStyle w:val="Header"/>
            <w:rPr>
              <w:rFonts w:ascii="Arial" w:hAnsi="Arial" w:cs="Arial"/>
              <w:b/>
              <w:bCs/>
            </w:rPr>
          </w:pPr>
          <w:r>
            <w:rPr>
              <w:rFonts w:ascii="Arial" w:hAnsi="Arial" w:cs="Arial"/>
              <w:b/>
              <w:bCs/>
            </w:rPr>
            <w:t>POLICY TITLE:</w:t>
          </w:r>
        </w:p>
      </w:tc>
      <w:tc>
        <w:tcPr>
          <w:tcW w:w="5040" w:type="dxa"/>
        </w:tcPr>
        <w:p w14:paraId="72BC664D" w14:textId="77777777" w:rsidR="00154298" w:rsidRDefault="00154298" w:rsidP="00154298">
          <w:pPr>
            <w:pStyle w:val="Header"/>
            <w:rPr>
              <w:rFonts w:ascii="Arial" w:hAnsi="Arial" w:cs="Arial"/>
              <w:b/>
              <w:bCs/>
              <w:sz w:val="16"/>
            </w:rPr>
          </w:pPr>
        </w:p>
        <w:p w14:paraId="40AD9ACC" w14:textId="77777777" w:rsidR="00154298" w:rsidRDefault="00154298" w:rsidP="00154298">
          <w:pPr>
            <w:pStyle w:val="Header"/>
            <w:rPr>
              <w:rFonts w:ascii="Arial" w:hAnsi="Arial" w:cs="Arial"/>
              <w:b/>
              <w:bCs/>
            </w:rPr>
          </w:pPr>
          <w:r>
            <w:rPr>
              <w:rFonts w:ascii="Arial" w:hAnsi="Arial" w:cs="Arial"/>
              <w:b/>
              <w:bCs/>
            </w:rPr>
            <w:t>Postsecondary Enrollment Options</w:t>
          </w:r>
        </w:p>
      </w:tc>
      <w:tc>
        <w:tcPr>
          <w:tcW w:w="2380" w:type="dxa"/>
        </w:tcPr>
        <w:p w14:paraId="5F1863A4" w14:textId="77777777" w:rsidR="00154298" w:rsidRDefault="00154298" w:rsidP="00154298">
          <w:pPr>
            <w:pStyle w:val="Header"/>
            <w:rPr>
              <w:rFonts w:ascii="Arial" w:hAnsi="Arial" w:cs="Arial"/>
              <w:b/>
              <w:bCs/>
              <w:sz w:val="16"/>
            </w:rPr>
          </w:pPr>
        </w:p>
        <w:p w14:paraId="45B37B1F" w14:textId="77777777" w:rsidR="00154298" w:rsidRDefault="00154298" w:rsidP="00154298">
          <w:pPr>
            <w:pStyle w:val="Header"/>
            <w:jc w:val="right"/>
            <w:rPr>
              <w:rFonts w:ascii="Arial" w:hAnsi="Arial" w:cs="Arial"/>
              <w:b/>
              <w:bCs/>
            </w:rPr>
          </w:pPr>
          <w:r>
            <w:rPr>
              <w:rFonts w:ascii="Arial" w:hAnsi="Arial" w:cs="Arial"/>
              <w:b/>
              <w:bCs/>
            </w:rPr>
            <w:t>POLICY NO: 634</w:t>
          </w:r>
        </w:p>
        <w:p w14:paraId="1187275C" w14:textId="77777777" w:rsidR="00154298" w:rsidRDefault="00154298" w:rsidP="00154298">
          <w:pPr>
            <w:pStyle w:val="Header"/>
            <w:jc w:val="right"/>
            <w:rPr>
              <w:rStyle w:val="PageNumbe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8E1E25">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3 </w:t>
          </w:r>
        </w:p>
        <w:p w14:paraId="08FDB8C3" w14:textId="77777777" w:rsidR="00154298" w:rsidRDefault="00154298" w:rsidP="00154298">
          <w:pPr>
            <w:pStyle w:val="Header"/>
            <w:jc w:val="right"/>
            <w:rPr>
              <w:rFonts w:ascii="Arial" w:hAnsi="Arial" w:cs="Arial"/>
              <w:b/>
              <w:bCs/>
            </w:rPr>
          </w:pPr>
        </w:p>
      </w:tc>
    </w:tr>
  </w:tbl>
  <w:p w14:paraId="586F3FDC" w14:textId="77777777" w:rsidR="00154298" w:rsidRPr="003B0639" w:rsidRDefault="00154298" w:rsidP="00154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pPr>
      <w:rPr>
        <w:rFonts w:ascii="Times New Roman" w:hAnsi="Times New Roman" w:cs="Times New Roman"/>
        <w:sz w:val="24"/>
        <w:szCs w:val="24"/>
      </w:rPr>
    </w:lvl>
  </w:abstractNum>
  <w:abstractNum w:abstractNumId="1">
    <w:nsid w:val="272C733A"/>
    <w:multiLevelType w:val="hybridMultilevel"/>
    <w:tmpl w:val="8310A5FE"/>
    <w:lvl w:ilvl="0" w:tplc="0409000F">
      <w:start w:val="1"/>
      <w:numFmt w:val="decimal"/>
      <w:pStyle w:va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B34544"/>
    <w:multiLevelType w:val="hybridMultilevel"/>
    <w:tmpl w:val="1470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D1"/>
    <w:rsid w:val="00003BF6"/>
    <w:rsid w:val="000267A8"/>
    <w:rsid w:val="00066B3D"/>
    <w:rsid w:val="000D2FD7"/>
    <w:rsid w:val="00104090"/>
    <w:rsid w:val="00141C11"/>
    <w:rsid w:val="00154298"/>
    <w:rsid w:val="00171F02"/>
    <w:rsid w:val="001735BF"/>
    <w:rsid w:val="0018781D"/>
    <w:rsid w:val="001B5972"/>
    <w:rsid w:val="001D7F21"/>
    <w:rsid w:val="00213CA2"/>
    <w:rsid w:val="00217663"/>
    <w:rsid w:val="0026784A"/>
    <w:rsid w:val="00284D78"/>
    <w:rsid w:val="002B71C2"/>
    <w:rsid w:val="00310F52"/>
    <w:rsid w:val="003322F5"/>
    <w:rsid w:val="00354469"/>
    <w:rsid w:val="003B0639"/>
    <w:rsid w:val="00414E91"/>
    <w:rsid w:val="00416BBD"/>
    <w:rsid w:val="00463CAC"/>
    <w:rsid w:val="004E7076"/>
    <w:rsid w:val="00544343"/>
    <w:rsid w:val="00571AFF"/>
    <w:rsid w:val="005741A6"/>
    <w:rsid w:val="00577BA0"/>
    <w:rsid w:val="005C7609"/>
    <w:rsid w:val="005D590E"/>
    <w:rsid w:val="006419F9"/>
    <w:rsid w:val="0064544E"/>
    <w:rsid w:val="006527EB"/>
    <w:rsid w:val="00655258"/>
    <w:rsid w:val="00681880"/>
    <w:rsid w:val="006B0F43"/>
    <w:rsid w:val="006C1A83"/>
    <w:rsid w:val="006D68FA"/>
    <w:rsid w:val="006D6D8C"/>
    <w:rsid w:val="006E61D5"/>
    <w:rsid w:val="00700890"/>
    <w:rsid w:val="00702248"/>
    <w:rsid w:val="00704B32"/>
    <w:rsid w:val="00717C3A"/>
    <w:rsid w:val="00723BBA"/>
    <w:rsid w:val="00736A12"/>
    <w:rsid w:val="007374BC"/>
    <w:rsid w:val="00771FB2"/>
    <w:rsid w:val="00772DDA"/>
    <w:rsid w:val="00786AA6"/>
    <w:rsid w:val="00867C40"/>
    <w:rsid w:val="0087020A"/>
    <w:rsid w:val="008D5994"/>
    <w:rsid w:val="008E1E25"/>
    <w:rsid w:val="009055E2"/>
    <w:rsid w:val="0096013C"/>
    <w:rsid w:val="009A7F37"/>
    <w:rsid w:val="009C6F55"/>
    <w:rsid w:val="009E41B9"/>
    <w:rsid w:val="00A142D1"/>
    <w:rsid w:val="00A15487"/>
    <w:rsid w:val="00A451A2"/>
    <w:rsid w:val="00A958C1"/>
    <w:rsid w:val="00A95BA0"/>
    <w:rsid w:val="00B26D3E"/>
    <w:rsid w:val="00BB104E"/>
    <w:rsid w:val="00C1598A"/>
    <w:rsid w:val="00C50A9C"/>
    <w:rsid w:val="00C62242"/>
    <w:rsid w:val="00C64D1D"/>
    <w:rsid w:val="00CD2760"/>
    <w:rsid w:val="00D42D7B"/>
    <w:rsid w:val="00D53659"/>
    <w:rsid w:val="00D626CE"/>
    <w:rsid w:val="00D6746F"/>
    <w:rsid w:val="00D67EE0"/>
    <w:rsid w:val="00D74A6D"/>
    <w:rsid w:val="00DC1A68"/>
    <w:rsid w:val="00DD2B42"/>
    <w:rsid w:val="00EB0832"/>
    <w:rsid w:val="00F6631C"/>
    <w:rsid w:val="00FD04F8"/>
    <w:rsid w:val="00FD62A4"/>
    <w:rsid w:val="00FE5929"/>
    <w:rsid w:val="00FF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rPr>
      <w:szCs w:val="24"/>
    </w:rPr>
  </w:style>
  <w:style w:type="character" w:styleId="PageNumber">
    <w:name w:val="page number"/>
    <w:basedOn w:val="DefaultParagraphFont"/>
  </w:style>
  <w:style w:type="paragraph" w:customStyle="1" w:styleId="1">
    <w:name w:val="1"/>
    <w:aliases w:val="2,3"/>
    <w:basedOn w:val="Normal"/>
    <w:pPr>
      <w:widowControl w:val="0"/>
      <w:numPr>
        <w:numId w:val="3"/>
      </w:numPr>
      <w:autoSpaceDE w:val="0"/>
      <w:autoSpaceDN w:val="0"/>
      <w:adjustRightInd w:val="0"/>
      <w:ind w:hanging="720"/>
    </w:pPr>
    <w:rPr>
      <w:sz w:val="20"/>
      <w:szCs w:val="24"/>
    </w:rPr>
  </w:style>
  <w:style w:type="character" w:customStyle="1" w:styleId="f11s">
    <w:name w:val="f11s"/>
    <w:rsid w:val="00A15487"/>
  </w:style>
  <w:style w:type="paragraph" w:styleId="BalloonText">
    <w:name w:val="Balloon Text"/>
    <w:basedOn w:val="Normal"/>
    <w:link w:val="BalloonTextChar"/>
    <w:rsid w:val="00A15487"/>
    <w:rPr>
      <w:rFonts w:ascii="Tahoma" w:hAnsi="Tahoma"/>
      <w:sz w:val="16"/>
      <w:szCs w:val="16"/>
      <w:lang w:val="x-none" w:eastAsia="x-none"/>
    </w:rPr>
  </w:style>
  <w:style w:type="character" w:customStyle="1" w:styleId="BalloonTextChar">
    <w:name w:val="Balloon Text Char"/>
    <w:link w:val="BalloonText"/>
    <w:rsid w:val="00A15487"/>
    <w:rPr>
      <w:rFonts w:ascii="Tahoma" w:hAnsi="Tahoma" w:cs="Tahoma"/>
      <w:sz w:val="16"/>
      <w:szCs w:val="16"/>
    </w:rPr>
  </w:style>
  <w:style w:type="character" w:customStyle="1" w:styleId="apple-converted-space">
    <w:name w:val="apple-converted-space"/>
    <w:rsid w:val="005D590E"/>
  </w:style>
  <w:style w:type="paragraph" w:customStyle="1" w:styleId="ColorfulList-Accent11">
    <w:name w:val="Colorful List - Accent 11"/>
    <w:basedOn w:val="Normal"/>
    <w:uiPriority w:val="34"/>
    <w:qFormat/>
    <w:rsid w:val="00213CA2"/>
    <w:pPr>
      <w:ind w:left="720"/>
    </w:pPr>
  </w:style>
  <w:style w:type="character" w:styleId="CommentReference">
    <w:name w:val="annotation reference"/>
    <w:rsid w:val="00310F52"/>
    <w:rPr>
      <w:sz w:val="16"/>
      <w:szCs w:val="16"/>
    </w:rPr>
  </w:style>
  <w:style w:type="paragraph" w:styleId="CommentText">
    <w:name w:val="annotation text"/>
    <w:basedOn w:val="Normal"/>
    <w:link w:val="CommentTextChar"/>
    <w:rsid w:val="00310F52"/>
    <w:rPr>
      <w:sz w:val="20"/>
    </w:rPr>
  </w:style>
  <w:style w:type="character" w:customStyle="1" w:styleId="CommentTextChar">
    <w:name w:val="Comment Text Char"/>
    <w:basedOn w:val="DefaultParagraphFont"/>
    <w:link w:val="CommentText"/>
    <w:rsid w:val="00310F52"/>
  </w:style>
  <w:style w:type="paragraph" w:styleId="CommentSubject">
    <w:name w:val="annotation subject"/>
    <w:basedOn w:val="CommentText"/>
    <w:next w:val="CommentText"/>
    <w:link w:val="CommentSubjectChar"/>
    <w:rsid w:val="00310F52"/>
    <w:rPr>
      <w:b/>
      <w:bCs/>
      <w:lang w:val="x-none" w:eastAsia="x-none"/>
    </w:rPr>
  </w:style>
  <w:style w:type="character" w:customStyle="1" w:styleId="CommentSubjectChar">
    <w:name w:val="Comment Subject Char"/>
    <w:link w:val="CommentSubject"/>
    <w:rsid w:val="00310F52"/>
    <w:rPr>
      <w:b/>
      <w:bCs/>
    </w:rPr>
  </w:style>
  <w:style w:type="paragraph" w:customStyle="1" w:styleId="ColorfulShading-Accent11">
    <w:name w:val="Colorful Shading - Accent 11"/>
    <w:hidden/>
    <w:uiPriority w:val="99"/>
    <w:semiHidden/>
    <w:rsid w:val="00310F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rPr>
      <w:szCs w:val="24"/>
    </w:rPr>
  </w:style>
  <w:style w:type="character" w:styleId="PageNumber">
    <w:name w:val="page number"/>
    <w:basedOn w:val="DefaultParagraphFont"/>
  </w:style>
  <w:style w:type="paragraph" w:customStyle="1" w:styleId="1">
    <w:name w:val="1"/>
    <w:aliases w:val="2,3"/>
    <w:basedOn w:val="Normal"/>
    <w:pPr>
      <w:widowControl w:val="0"/>
      <w:numPr>
        <w:numId w:val="3"/>
      </w:numPr>
      <w:autoSpaceDE w:val="0"/>
      <w:autoSpaceDN w:val="0"/>
      <w:adjustRightInd w:val="0"/>
      <w:ind w:hanging="720"/>
    </w:pPr>
    <w:rPr>
      <w:sz w:val="20"/>
      <w:szCs w:val="24"/>
    </w:rPr>
  </w:style>
  <w:style w:type="character" w:customStyle="1" w:styleId="f11s">
    <w:name w:val="f11s"/>
    <w:rsid w:val="00A15487"/>
  </w:style>
  <w:style w:type="paragraph" w:styleId="BalloonText">
    <w:name w:val="Balloon Text"/>
    <w:basedOn w:val="Normal"/>
    <w:link w:val="BalloonTextChar"/>
    <w:rsid w:val="00A15487"/>
    <w:rPr>
      <w:rFonts w:ascii="Tahoma" w:hAnsi="Tahoma"/>
      <w:sz w:val="16"/>
      <w:szCs w:val="16"/>
      <w:lang w:val="x-none" w:eastAsia="x-none"/>
    </w:rPr>
  </w:style>
  <w:style w:type="character" w:customStyle="1" w:styleId="BalloonTextChar">
    <w:name w:val="Balloon Text Char"/>
    <w:link w:val="BalloonText"/>
    <w:rsid w:val="00A15487"/>
    <w:rPr>
      <w:rFonts w:ascii="Tahoma" w:hAnsi="Tahoma" w:cs="Tahoma"/>
      <w:sz w:val="16"/>
      <w:szCs w:val="16"/>
    </w:rPr>
  </w:style>
  <w:style w:type="character" w:customStyle="1" w:styleId="apple-converted-space">
    <w:name w:val="apple-converted-space"/>
    <w:rsid w:val="005D590E"/>
  </w:style>
  <w:style w:type="paragraph" w:customStyle="1" w:styleId="ColorfulList-Accent11">
    <w:name w:val="Colorful List - Accent 11"/>
    <w:basedOn w:val="Normal"/>
    <w:uiPriority w:val="34"/>
    <w:qFormat/>
    <w:rsid w:val="00213CA2"/>
    <w:pPr>
      <w:ind w:left="720"/>
    </w:pPr>
  </w:style>
  <w:style w:type="character" w:styleId="CommentReference">
    <w:name w:val="annotation reference"/>
    <w:rsid w:val="00310F52"/>
    <w:rPr>
      <w:sz w:val="16"/>
      <w:szCs w:val="16"/>
    </w:rPr>
  </w:style>
  <w:style w:type="paragraph" w:styleId="CommentText">
    <w:name w:val="annotation text"/>
    <w:basedOn w:val="Normal"/>
    <w:link w:val="CommentTextChar"/>
    <w:rsid w:val="00310F52"/>
    <w:rPr>
      <w:sz w:val="20"/>
    </w:rPr>
  </w:style>
  <w:style w:type="character" w:customStyle="1" w:styleId="CommentTextChar">
    <w:name w:val="Comment Text Char"/>
    <w:basedOn w:val="DefaultParagraphFont"/>
    <w:link w:val="CommentText"/>
    <w:rsid w:val="00310F52"/>
  </w:style>
  <w:style w:type="paragraph" w:styleId="CommentSubject">
    <w:name w:val="annotation subject"/>
    <w:basedOn w:val="CommentText"/>
    <w:next w:val="CommentText"/>
    <w:link w:val="CommentSubjectChar"/>
    <w:rsid w:val="00310F52"/>
    <w:rPr>
      <w:b/>
      <w:bCs/>
      <w:lang w:val="x-none" w:eastAsia="x-none"/>
    </w:rPr>
  </w:style>
  <w:style w:type="character" w:customStyle="1" w:styleId="CommentSubjectChar">
    <w:name w:val="Comment Subject Char"/>
    <w:link w:val="CommentSubject"/>
    <w:rsid w:val="00310F52"/>
    <w:rPr>
      <w:b/>
      <w:bCs/>
    </w:rPr>
  </w:style>
  <w:style w:type="paragraph" w:customStyle="1" w:styleId="ColorfulShading-Accent11">
    <w:name w:val="Colorful Shading - Accent 11"/>
    <w:hidden/>
    <w:uiPriority w:val="99"/>
    <w:semiHidden/>
    <w:rsid w:val="00310F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4458">
      <w:bodyDiv w:val="1"/>
      <w:marLeft w:val="0"/>
      <w:marRight w:val="0"/>
      <w:marTop w:val="0"/>
      <w:marBottom w:val="0"/>
      <w:divBdr>
        <w:top w:val="none" w:sz="0" w:space="0" w:color="auto"/>
        <w:left w:val="none" w:sz="0" w:space="0" w:color="auto"/>
        <w:bottom w:val="none" w:sz="0" w:space="0" w:color="auto"/>
        <w:right w:val="none" w:sz="0" w:space="0" w:color="auto"/>
      </w:divBdr>
    </w:div>
    <w:div w:id="19525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64646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2015-05-14T21:38:00Z</cp:lastPrinted>
  <dcterms:created xsi:type="dcterms:W3CDTF">2015-10-09T18:45:00Z</dcterms:created>
  <dcterms:modified xsi:type="dcterms:W3CDTF">2015-10-09T18:45:00Z</dcterms:modified>
</cp:coreProperties>
</file>