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4D7" w:rsidRPr="00F06261" w:rsidRDefault="004E3F8D" w:rsidP="00BB54D7">
      <w:pPr>
        <w:autoSpaceDE w:val="0"/>
        <w:autoSpaceDN w:val="0"/>
        <w:adjustRightInd w:val="0"/>
        <w:spacing w:before="240" w:after="120"/>
        <w:jc w:val="both"/>
        <w:rPr>
          <w:color w:val="000000"/>
          <w:lang w:val="en-CA"/>
        </w:rPr>
      </w:pPr>
      <w:bookmarkStart w:id="0" w:name="_GoBack"/>
      <w:bookmarkEnd w:id="0"/>
      <w:r w:rsidRPr="00F06261">
        <w:rPr>
          <w:color w:val="000000"/>
          <w:lang w:val="en-CA"/>
        </w:rPr>
        <w:t>A name-clearing hearing will be provided</w:t>
      </w:r>
      <w:r w:rsidR="00AC488B" w:rsidRPr="00F06261">
        <w:rPr>
          <w:color w:val="000000"/>
          <w:lang w:val="en-CA"/>
        </w:rPr>
        <w:t xml:space="preserve"> following the procedure</w:t>
      </w:r>
      <w:r w:rsidRPr="00F06261">
        <w:rPr>
          <w:color w:val="000000"/>
          <w:lang w:val="en-CA"/>
        </w:rPr>
        <w:t xml:space="preserve"> set forth in Policy No. </w:t>
      </w:r>
      <w:r w:rsidR="005C2B55" w:rsidRPr="00F06261">
        <w:rPr>
          <w:color w:val="000000"/>
          <w:lang w:val="en-CA"/>
        </w:rPr>
        <w:t>422</w:t>
      </w:r>
      <w:r w:rsidRPr="00F06261">
        <w:rPr>
          <w:color w:val="000000"/>
          <w:lang w:val="en-CA"/>
        </w:rPr>
        <w:t xml:space="preserve">P1 to any employee who is involuntarily terminated from employment and </w:t>
      </w:r>
      <w:r w:rsidR="00926F5B" w:rsidRPr="00F06261">
        <w:rPr>
          <w:color w:val="000000"/>
          <w:lang w:val="en-CA"/>
        </w:rPr>
        <w:t>alleges that</w:t>
      </w:r>
      <w:r w:rsidRPr="00F06261">
        <w:rPr>
          <w:color w:val="000000"/>
          <w:lang w:val="en-CA"/>
        </w:rPr>
        <w:t xml:space="preserve">, in relation to the termination, stigmatizing false statements that are damaging to the former employee’s reputation have been made public.   The purpose of a name-clearing hearing is to afford the former employee an opportunity </w:t>
      </w:r>
      <w:r w:rsidR="00926F5B" w:rsidRPr="00F06261">
        <w:rPr>
          <w:color w:val="000000"/>
          <w:lang w:val="en-CA"/>
        </w:rPr>
        <w:t>to clear his/</w:t>
      </w:r>
      <w:r w:rsidRPr="00F06261">
        <w:rPr>
          <w:color w:val="000000"/>
          <w:lang w:val="en-CA"/>
        </w:rPr>
        <w:t xml:space="preserve">her name by responding to the public statements. </w:t>
      </w:r>
    </w:p>
    <w:p w:rsidR="00052534" w:rsidRPr="00F06261" w:rsidRDefault="00052534" w:rsidP="00052534">
      <w:pPr>
        <w:jc w:val="both"/>
        <w:rPr>
          <w:b/>
          <w:caps/>
        </w:rPr>
      </w:pPr>
    </w:p>
    <w:p w:rsidR="00052534" w:rsidRPr="00F06261" w:rsidRDefault="00052534" w:rsidP="00052534">
      <w:pPr>
        <w:jc w:val="both"/>
        <w:rPr>
          <w:b/>
          <w:caps/>
        </w:rPr>
      </w:pPr>
      <w:r w:rsidRPr="00F06261">
        <w:rPr>
          <w:b/>
          <w:caps/>
        </w:rPr>
        <w:t>Definitions</w:t>
      </w:r>
    </w:p>
    <w:p w:rsidR="00052534" w:rsidRPr="00F06261" w:rsidRDefault="00052534" w:rsidP="00052534">
      <w:pPr>
        <w:jc w:val="both"/>
      </w:pPr>
    </w:p>
    <w:p w:rsidR="00052534" w:rsidRPr="00F06261" w:rsidRDefault="00052534" w:rsidP="00052534">
      <w:pPr>
        <w:jc w:val="both"/>
      </w:pPr>
      <w:r w:rsidRPr="00F06261">
        <w:t xml:space="preserve">“Former employee” means an employee of this School District who worked on a full or part-time basis and who was involuntarily discharged from employment.  </w:t>
      </w:r>
    </w:p>
    <w:p w:rsidR="00052534" w:rsidRPr="00F06261" w:rsidRDefault="00052534" w:rsidP="00052534">
      <w:pPr>
        <w:jc w:val="both"/>
      </w:pPr>
    </w:p>
    <w:p w:rsidR="00052534" w:rsidRPr="00F06261" w:rsidRDefault="00052534" w:rsidP="00052534">
      <w:pPr>
        <w:jc w:val="both"/>
      </w:pPr>
      <w:r w:rsidRPr="00F06261">
        <w:t xml:space="preserve">“Stigmatizing statement” means a statement involving allegations of dishonesty, immorality, or other conduct which may damage a former employee’s reputation among associates and impair his or her ability to obtain other employment.  Examples of “stigmatizing statements” include falsifying records, misappropriating School District property or funds, mental instability or statements that the former employee is untruthful, untrustworthy, unethical, or is demonstrative of poor judgment, or has committed a crime or other immoral act. </w:t>
      </w:r>
    </w:p>
    <w:p w:rsidR="00052534" w:rsidRPr="00F06261" w:rsidRDefault="00052534" w:rsidP="00052534">
      <w:pPr>
        <w:rPr>
          <w:b/>
        </w:rPr>
      </w:pPr>
    </w:p>
    <w:p w:rsidR="00052534" w:rsidRPr="00F06261" w:rsidRDefault="00052534" w:rsidP="00052534">
      <w:pPr>
        <w:rPr>
          <w:b/>
          <w:caps/>
        </w:rPr>
      </w:pPr>
      <w:r w:rsidRPr="00F06261">
        <w:rPr>
          <w:b/>
          <w:caps/>
        </w:rPr>
        <w:t>Right to a Hearing</w:t>
      </w:r>
    </w:p>
    <w:p w:rsidR="00052534" w:rsidRPr="00F06261" w:rsidRDefault="00052534" w:rsidP="00052534"/>
    <w:p w:rsidR="00052534" w:rsidRPr="00F06261" w:rsidRDefault="00052534" w:rsidP="00052534">
      <w:pPr>
        <w:jc w:val="both"/>
      </w:pPr>
      <w:r w:rsidRPr="00F06261">
        <w:t xml:space="preserve">Whenever an employee is involuntarily terminated, the employee will be notified in writing that a name-clearing hearing will be arranged if the employee falls within the provisions of this procedure and the employee makes a timely written request. </w:t>
      </w:r>
    </w:p>
    <w:p w:rsidR="00052534" w:rsidRPr="00F06261" w:rsidRDefault="00052534" w:rsidP="00052534">
      <w:pPr>
        <w:jc w:val="both"/>
      </w:pPr>
    </w:p>
    <w:p w:rsidR="00052534" w:rsidRPr="00F06261" w:rsidRDefault="00052534" w:rsidP="00052534">
      <w:pPr>
        <w:jc w:val="both"/>
      </w:pPr>
      <w:r w:rsidRPr="00F06261">
        <w:t>A name-clearing hearing is not required each time an employee is terminated from employment.  A name-clearing hearing is required only in those instances where the former employee alleges statements related to the termination “stigmatized” his/her reputation, and the former employee denies the truth of the statements.  A name-clearing hearing will be offered whenever the following three conditions are met:</w:t>
      </w:r>
    </w:p>
    <w:p w:rsidR="00052534" w:rsidRPr="00F06261" w:rsidRDefault="00052534" w:rsidP="00052534">
      <w:pPr>
        <w:jc w:val="both"/>
      </w:pPr>
    </w:p>
    <w:p w:rsidR="00052534" w:rsidRPr="00F06261" w:rsidRDefault="00052534" w:rsidP="00052534">
      <w:pPr>
        <w:pStyle w:val="ListParagraph"/>
        <w:numPr>
          <w:ilvl w:val="0"/>
          <w:numId w:val="1"/>
        </w:numPr>
        <w:jc w:val="both"/>
      </w:pPr>
      <w:r w:rsidRPr="00F06261">
        <w:t>An employee is involuntarily terminated from employment;</w:t>
      </w:r>
    </w:p>
    <w:p w:rsidR="00052534" w:rsidRPr="00F06261" w:rsidRDefault="00052534" w:rsidP="00052534">
      <w:pPr>
        <w:pStyle w:val="ListParagraph"/>
        <w:numPr>
          <w:ilvl w:val="0"/>
          <w:numId w:val="1"/>
        </w:numPr>
        <w:jc w:val="both"/>
      </w:pPr>
      <w:r w:rsidRPr="00F06261">
        <w:t xml:space="preserve">The former employee contends that stigmatizing statements regarding the termination of employment have been placed in the employee’s personnel file or otherwise have been made public by individuals associated with the School District; and </w:t>
      </w:r>
    </w:p>
    <w:p w:rsidR="00052534" w:rsidRPr="00F06261" w:rsidRDefault="00052534" w:rsidP="00052534">
      <w:pPr>
        <w:pStyle w:val="ListParagraph"/>
        <w:numPr>
          <w:ilvl w:val="0"/>
          <w:numId w:val="1"/>
        </w:numPr>
        <w:jc w:val="both"/>
      </w:pPr>
      <w:r w:rsidRPr="00F06261">
        <w:t xml:space="preserve">The former employee asserts that the statements are untrue. </w:t>
      </w:r>
    </w:p>
    <w:p w:rsidR="00052534" w:rsidRPr="00F06261" w:rsidRDefault="00052534" w:rsidP="00052534">
      <w:pPr>
        <w:jc w:val="both"/>
      </w:pPr>
    </w:p>
    <w:p w:rsidR="00052534" w:rsidRPr="00F06261" w:rsidRDefault="00052534" w:rsidP="00052534">
      <w:pPr>
        <w:jc w:val="both"/>
      </w:pPr>
      <w:r w:rsidRPr="00F06261">
        <w:t xml:space="preserve">In the event a former employee filed a grievance pursuant to the Master Agreement as a certificated employee or Policy No. ___ as a classified employee, then those proceedings will function as the name-clearing hearing. </w:t>
      </w:r>
    </w:p>
    <w:p w:rsidR="00052534" w:rsidRPr="00F06261" w:rsidRDefault="00052534" w:rsidP="00052534">
      <w:pPr>
        <w:jc w:val="both"/>
      </w:pPr>
    </w:p>
    <w:p w:rsidR="00052534" w:rsidRPr="00F06261" w:rsidRDefault="00052534" w:rsidP="00BB54D7">
      <w:pPr>
        <w:autoSpaceDE w:val="0"/>
        <w:autoSpaceDN w:val="0"/>
        <w:adjustRightInd w:val="0"/>
        <w:spacing w:before="240" w:after="120"/>
        <w:jc w:val="both"/>
        <w:rPr>
          <w:color w:val="000000"/>
          <w:lang w:val="en-CA"/>
        </w:rPr>
      </w:pPr>
    </w:p>
    <w:p w:rsidR="008608DE" w:rsidRPr="00F06261" w:rsidRDefault="008608DE" w:rsidP="00BB54D7">
      <w:pPr>
        <w:autoSpaceDE w:val="0"/>
        <w:autoSpaceDN w:val="0"/>
        <w:adjustRightInd w:val="0"/>
        <w:spacing w:before="240" w:after="120"/>
        <w:jc w:val="both"/>
        <w:rPr>
          <w:color w:val="000000"/>
          <w:lang w:val="en-CA"/>
        </w:rPr>
      </w:pPr>
      <w:r w:rsidRPr="00F06261">
        <w:rPr>
          <w:color w:val="000000"/>
          <w:lang w:val="en-CA"/>
        </w:rPr>
        <w:lastRenderedPageBreak/>
        <w:t xml:space="preserve">Whenever an </w:t>
      </w:r>
      <w:r w:rsidR="00926F5B" w:rsidRPr="00F06261">
        <w:rPr>
          <w:color w:val="000000"/>
          <w:lang w:val="en-CA"/>
        </w:rPr>
        <w:t>employee</w:t>
      </w:r>
      <w:r w:rsidRPr="00F06261">
        <w:rPr>
          <w:color w:val="000000"/>
          <w:lang w:val="en-CA"/>
        </w:rPr>
        <w:t xml:space="preserve"> is involuntarily terminated the School District will provide the employee a copy of this policy and accompanying procedure and notify the employee in writing that a name-clearing hearing </w:t>
      </w:r>
      <w:r w:rsidR="00926F5B" w:rsidRPr="00F06261">
        <w:rPr>
          <w:color w:val="000000"/>
          <w:lang w:val="en-CA"/>
        </w:rPr>
        <w:t>may be available.</w:t>
      </w:r>
    </w:p>
    <w:p w:rsidR="005C2B55" w:rsidRPr="00F06261" w:rsidRDefault="005C2B55" w:rsidP="005C2B55">
      <w:pPr>
        <w:jc w:val="center"/>
      </w:pPr>
      <w:r w:rsidRPr="00F06261">
        <w:rPr>
          <w:rFonts w:ascii="Arial" w:hAnsi="Arial" w:cs="Arial"/>
          <w:b/>
          <w:bCs/>
          <w:sz w:val="28"/>
        </w:rPr>
        <w:t>♦ ♦ ♦ ♦ ♦ ♦ ♦</w:t>
      </w:r>
    </w:p>
    <w:p w:rsidR="00DA7C02" w:rsidRPr="00F06261" w:rsidRDefault="00DA7C02" w:rsidP="005C2B55">
      <w:pPr>
        <w:tabs>
          <w:tab w:val="left" w:pos="1010"/>
        </w:tabs>
        <w:autoSpaceDE w:val="0"/>
        <w:autoSpaceDN w:val="0"/>
        <w:adjustRightInd w:val="0"/>
        <w:spacing w:after="120"/>
        <w:rPr>
          <w:color w:val="000000"/>
          <w:lang w:val="en-CA"/>
        </w:rPr>
      </w:pPr>
    </w:p>
    <w:p w:rsidR="00DA7C02" w:rsidRPr="00F06261" w:rsidRDefault="00DA7C02" w:rsidP="005508BD">
      <w:pPr>
        <w:autoSpaceDE w:val="0"/>
        <w:autoSpaceDN w:val="0"/>
        <w:adjustRightInd w:val="0"/>
        <w:spacing w:after="120"/>
        <w:rPr>
          <w:b/>
          <w:caps/>
          <w:color w:val="000000"/>
          <w:lang w:val="en-CA"/>
        </w:rPr>
      </w:pPr>
      <w:r w:rsidRPr="00F06261">
        <w:rPr>
          <w:b/>
          <w:caps/>
          <w:color w:val="000000"/>
          <w:lang w:val="en-CA"/>
        </w:rPr>
        <w:t>Legal Reference:</w:t>
      </w:r>
    </w:p>
    <w:p w:rsidR="00DA7C02" w:rsidRPr="00F06261" w:rsidRDefault="00DA7C02" w:rsidP="005508BD">
      <w:pPr>
        <w:autoSpaceDE w:val="0"/>
        <w:autoSpaceDN w:val="0"/>
        <w:adjustRightInd w:val="0"/>
        <w:spacing w:after="120"/>
        <w:rPr>
          <w:color w:val="000000"/>
          <w:lang w:val="en-CA"/>
        </w:rPr>
      </w:pPr>
      <w:r w:rsidRPr="00F06261">
        <w:rPr>
          <w:color w:val="000000"/>
          <w:lang w:val="en-CA"/>
        </w:rPr>
        <w:t xml:space="preserve">Board of Regents of State Colleges v. Roth, </w:t>
      </w:r>
      <w:r w:rsidR="005E426F" w:rsidRPr="00F06261">
        <w:rPr>
          <w:color w:val="000000"/>
          <w:lang w:val="en-CA"/>
        </w:rPr>
        <w:t>408 U.S. 573 (1971)</w:t>
      </w:r>
    </w:p>
    <w:p w:rsidR="005C2B55" w:rsidRPr="00F06261" w:rsidRDefault="005C2B55" w:rsidP="005C2B55">
      <w:pPr>
        <w:pStyle w:val="Header"/>
        <w:keepNext/>
        <w:rPr>
          <w:b/>
          <w:bCs/>
        </w:rPr>
      </w:pPr>
    </w:p>
    <w:p w:rsidR="005C2B55" w:rsidRPr="00F06261" w:rsidRDefault="005C2B55" w:rsidP="005C2B55">
      <w:pPr>
        <w:pStyle w:val="Header"/>
        <w:keepNext/>
      </w:pPr>
      <w:r w:rsidRPr="00F06261">
        <w:rPr>
          <w:b/>
          <w:bCs/>
        </w:rPr>
        <w:t>ADOPTED:</w:t>
      </w:r>
      <w:r w:rsidR="00F06261" w:rsidRPr="00F06261">
        <w:rPr>
          <w:b/>
          <w:bCs/>
        </w:rPr>
        <w:t xml:space="preserve"> March 14, 2016</w:t>
      </w:r>
      <w:r w:rsidRPr="00F06261">
        <w:rPr>
          <w:b/>
          <w:bCs/>
        </w:rPr>
        <w:tab/>
      </w:r>
    </w:p>
    <w:p w:rsidR="005C2B55" w:rsidRPr="00F06261" w:rsidRDefault="005C2B55" w:rsidP="005C2B55">
      <w:pPr>
        <w:pStyle w:val="Header"/>
        <w:keepNext/>
      </w:pPr>
    </w:p>
    <w:p w:rsidR="004E3F8D" w:rsidRPr="00F06261" w:rsidRDefault="005C2B55" w:rsidP="005C2B55">
      <w:r w:rsidRPr="00F06261">
        <w:rPr>
          <w:b/>
          <w:bCs/>
        </w:rPr>
        <w:t>AMENDED</w:t>
      </w:r>
    </w:p>
    <w:p w:rsidR="002C3836" w:rsidRDefault="002C3836"/>
    <w:p w:rsidR="002C3836" w:rsidRDefault="002C3836"/>
    <w:sectPr w:rsidR="002C3836" w:rsidSect="005C2B55">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B55" w:rsidRDefault="005C2B55" w:rsidP="005C2B55">
      <w:r>
        <w:separator/>
      </w:r>
    </w:p>
  </w:endnote>
  <w:endnote w:type="continuationSeparator" w:id="0">
    <w:p w:rsidR="005C2B55" w:rsidRDefault="005C2B55" w:rsidP="005C2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B55" w:rsidRDefault="005C2B55" w:rsidP="005C2B55">
    <w:pPr>
      <w:pStyle w:val="Footer"/>
      <w:pBdr>
        <w:bottom w:val="single" w:sz="12" w:space="1" w:color="auto"/>
      </w:pBdr>
      <w:rPr>
        <w:rFonts w:ascii="Arial" w:hAnsi="Arial" w:cs="Arial"/>
        <w:b/>
        <w:bCs/>
      </w:rPr>
    </w:pPr>
  </w:p>
  <w:p w:rsidR="005C2B55" w:rsidRDefault="005C2B55" w:rsidP="005C2B55">
    <w:pPr>
      <w:pStyle w:val="Footer"/>
      <w:rPr>
        <w:rFonts w:ascii="Arial" w:hAnsi="Arial" w:cs="Arial"/>
      </w:rPr>
    </w:pPr>
    <w:r>
      <w:rPr>
        <w:rFonts w:ascii="Arial" w:hAnsi="Arial" w:cs="Arial"/>
        <w:b/>
        <w:bCs/>
      </w:rPr>
      <w:t xml:space="preserve">SECTION 400:  PERSONNEL                    </w:t>
    </w:r>
    <w:r>
      <w:rPr>
        <w:rFonts w:ascii="Arial" w:hAnsi="Arial" w:cs="Arial"/>
      </w:rPr>
      <w:t>© 2015 Moore Smith Buxton &amp; Turcke, Chtd.</w:t>
    </w:r>
  </w:p>
  <w:p w:rsidR="005C2B55" w:rsidRDefault="005C2B55" w:rsidP="005C2B55">
    <w:pPr>
      <w:pStyle w:val="Footer"/>
      <w:jc w:val="right"/>
    </w:pPr>
    <w:r>
      <w:rPr>
        <w:rFonts w:ascii="Arial" w:hAnsi="Arial" w:cs="Arial"/>
        <w:sz w:val="16"/>
      </w:rPr>
      <w:t xml:space="preserve"> D12/</w:t>
    </w:r>
    <w:r w:rsidR="00052534">
      <w:rPr>
        <w:rFonts w:ascii="Arial" w:hAnsi="Arial" w:cs="Arial"/>
        <w:sz w:val="16"/>
      </w:rPr>
      <w:t>03</w:t>
    </w:r>
    <w:r>
      <w:rPr>
        <w:rFonts w:ascii="Arial" w:hAnsi="Arial" w:cs="Arial"/>
        <w:sz w:val="16"/>
      </w:rPr>
      <w:t>/15</w:t>
    </w:r>
  </w:p>
  <w:p w:rsidR="005C2B55" w:rsidRDefault="005C2B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B55" w:rsidRDefault="005C2B55" w:rsidP="005C2B55">
    <w:pPr>
      <w:pStyle w:val="Footer"/>
      <w:pBdr>
        <w:bottom w:val="single" w:sz="12" w:space="1" w:color="auto"/>
      </w:pBdr>
      <w:rPr>
        <w:rFonts w:ascii="Arial" w:hAnsi="Arial" w:cs="Arial"/>
        <w:b/>
        <w:bCs/>
      </w:rPr>
    </w:pPr>
  </w:p>
  <w:p w:rsidR="005C2B55" w:rsidRDefault="005C2B55" w:rsidP="005C2B55">
    <w:pPr>
      <w:pStyle w:val="Footer"/>
      <w:rPr>
        <w:rFonts w:ascii="Arial" w:hAnsi="Arial" w:cs="Arial"/>
      </w:rPr>
    </w:pPr>
    <w:r>
      <w:rPr>
        <w:rFonts w:ascii="Arial" w:hAnsi="Arial" w:cs="Arial"/>
        <w:b/>
        <w:bCs/>
      </w:rPr>
      <w:t xml:space="preserve">SECTION 400:  PERSONNEL                    </w:t>
    </w:r>
    <w:r>
      <w:rPr>
        <w:rFonts w:ascii="Arial" w:hAnsi="Arial" w:cs="Arial"/>
      </w:rPr>
      <w:t>© 2015 Moore Smith Buxton &amp; Turcke, Chtd.</w:t>
    </w:r>
  </w:p>
  <w:p w:rsidR="005C2B55" w:rsidRDefault="005C2B55" w:rsidP="005C2B55">
    <w:pPr>
      <w:pStyle w:val="Footer"/>
      <w:jc w:val="right"/>
    </w:pPr>
    <w:r>
      <w:rPr>
        <w:rFonts w:ascii="Arial" w:hAnsi="Arial" w:cs="Arial"/>
        <w:sz w:val="16"/>
      </w:rPr>
      <w:t xml:space="preserve"> D12/0</w:t>
    </w:r>
    <w:r w:rsidR="00316B3C">
      <w:rPr>
        <w:rFonts w:ascii="Arial" w:hAnsi="Arial" w:cs="Arial"/>
        <w:sz w:val="16"/>
      </w:rPr>
      <w:t>3</w:t>
    </w:r>
    <w:r>
      <w:rPr>
        <w:rFonts w:ascii="Arial" w:hAnsi="Arial" w:cs="Arial"/>
        <w:sz w:val="16"/>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B55" w:rsidRDefault="005C2B55" w:rsidP="005C2B55">
      <w:r>
        <w:separator/>
      </w:r>
    </w:p>
  </w:footnote>
  <w:footnote w:type="continuationSeparator" w:id="0">
    <w:p w:rsidR="005C2B55" w:rsidRDefault="005C2B55" w:rsidP="005C2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B55" w:rsidRDefault="00052534" w:rsidP="005C2B55">
    <w:pPr>
      <w:pStyle w:val="Header"/>
      <w:pBdr>
        <w:bottom w:val="single" w:sz="12" w:space="1" w:color="auto"/>
      </w:pBdr>
      <w:rPr>
        <w:rStyle w:val="PageNumber"/>
        <w:rFonts w:ascii="Arial" w:hAnsi="Arial" w:cs="Arial"/>
      </w:rPr>
    </w:pPr>
    <w:r>
      <w:rPr>
        <w:rFonts w:ascii="Arial" w:hAnsi="Arial" w:cs="Arial"/>
        <w:b/>
        <w:bCs/>
      </w:rPr>
      <w:t>Name-Clearing Hearing</w:t>
    </w:r>
    <w:r w:rsidR="005C2B55">
      <w:rPr>
        <w:rFonts w:ascii="Arial" w:hAnsi="Arial" w:cs="Arial"/>
        <w:b/>
        <w:bCs/>
      </w:rPr>
      <w:t>—</w:t>
    </w:r>
    <w:r w:rsidR="005C2B55">
      <w:rPr>
        <w:rFonts w:ascii="Arial" w:hAnsi="Arial" w:cs="Arial"/>
        <w:i/>
        <w:iCs/>
      </w:rPr>
      <w:t>continued</w:t>
    </w:r>
    <w:r w:rsidR="005C2B55">
      <w:rPr>
        <w:rFonts w:ascii="Arial" w:hAnsi="Arial" w:cs="Arial"/>
        <w:i/>
        <w:iCs/>
      </w:rPr>
      <w:tab/>
    </w:r>
    <w:r>
      <w:rPr>
        <w:rFonts w:ascii="Arial" w:hAnsi="Arial" w:cs="Arial"/>
        <w:i/>
        <w:iCs/>
      </w:rPr>
      <w:t xml:space="preserve"> </w:t>
    </w:r>
    <w:r>
      <w:rPr>
        <w:rFonts w:ascii="Arial" w:hAnsi="Arial" w:cs="Arial"/>
        <w:i/>
        <w:iCs/>
      </w:rPr>
      <w:tab/>
    </w:r>
    <w:r w:rsidR="005C2B55">
      <w:rPr>
        <w:rFonts w:ascii="Arial" w:hAnsi="Arial" w:cs="Arial"/>
      </w:rPr>
      <w:t xml:space="preserve">Page </w:t>
    </w:r>
    <w:r w:rsidR="005C2B55">
      <w:rPr>
        <w:rStyle w:val="PageNumber"/>
        <w:rFonts w:ascii="Arial" w:hAnsi="Arial" w:cs="Arial"/>
      </w:rPr>
      <w:fldChar w:fldCharType="begin"/>
    </w:r>
    <w:r w:rsidR="005C2B55">
      <w:rPr>
        <w:rStyle w:val="PageNumber"/>
        <w:rFonts w:ascii="Arial" w:hAnsi="Arial" w:cs="Arial"/>
      </w:rPr>
      <w:instrText xml:space="preserve"> PAGE </w:instrText>
    </w:r>
    <w:r w:rsidR="005C2B55">
      <w:rPr>
        <w:rStyle w:val="PageNumber"/>
        <w:rFonts w:ascii="Arial" w:hAnsi="Arial" w:cs="Arial"/>
      </w:rPr>
      <w:fldChar w:fldCharType="separate"/>
    </w:r>
    <w:r w:rsidR="00C620AA">
      <w:rPr>
        <w:rStyle w:val="PageNumber"/>
        <w:rFonts w:ascii="Arial" w:hAnsi="Arial" w:cs="Arial"/>
        <w:noProof/>
      </w:rPr>
      <w:t>2</w:t>
    </w:r>
    <w:r w:rsidR="005C2B55">
      <w:rPr>
        <w:rStyle w:val="PageNumber"/>
        <w:rFonts w:ascii="Arial" w:hAnsi="Arial" w:cs="Arial"/>
      </w:rPr>
      <w:fldChar w:fldCharType="end"/>
    </w:r>
    <w:r w:rsidR="005C2B55">
      <w:rPr>
        <w:rStyle w:val="PageNumber"/>
        <w:rFonts w:ascii="Arial" w:hAnsi="Arial" w:cs="Arial"/>
      </w:rPr>
      <w:t xml:space="preserve"> of </w:t>
    </w:r>
    <w:r>
      <w:rPr>
        <w:rStyle w:val="PageNumber"/>
        <w:rFonts w:ascii="Arial" w:hAnsi="Arial" w:cs="Arial"/>
      </w:rPr>
      <w:t>2</w:t>
    </w:r>
  </w:p>
  <w:p w:rsidR="005C2B55" w:rsidRDefault="005C2B55" w:rsidP="005C2B55">
    <w:pPr>
      <w:pStyle w:val="Header"/>
      <w:rPr>
        <w:rStyle w:val="PageNumber"/>
        <w:rFonts w:ascii="Arial" w:hAnsi="Arial" w:cs="Arial"/>
      </w:rPr>
    </w:pPr>
  </w:p>
  <w:p w:rsidR="005C2B55" w:rsidRPr="005C2B55" w:rsidRDefault="005C2B55" w:rsidP="005C2B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thinThickSmallGap" w:sz="24" w:space="0" w:color="000000"/>
        <w:left w:val="thinThickSmallGap" w:sz="24" w:space="0" w:color="000000"/>
        <w:bottom w:val="thickThinSmallGap" w:sz="24" w:space="0" w:color="000000"/>
        <w:right w:val="thickThinSmallGap" w:sz="24" w:space="0" w:color="000000"/>
      </w:tblBorders>
      <w:tblLook w:val="0000" w:firstRow="0" w:lastRow="0" w:firstColumn="0" w:lastColumn="0" w:noHBand="0" w:noVBand="0"/>
    </w:tblPr>
    <w:tblGrid>
      <w:gridCol w:w="1980"/>
      <w:gridCol w:w="5040"/>
      <w:gridCol w:w="2380"/>
    </w:tblGrid>
    <w:tr w:rsidR="005C2B55" w:rsidTr="00617865">
      <w:trPr>
        <w:cantSplit/>
      </w:trPr>
      <w:tc>
        <w:tcPr>
          <w:tcW w:w="1980" w:type="dxa"/>
        </w:tcPr>
        <w:p w:rsidR="005C2B55" w:rsidRDefault="005C2B55" w:rsidP="005C2B55">
          <w:pPr>
            <w:pStyle w:val="Header"/>
            <w:rPr>
              <w:rFonts w:ascii="Arial" w:hAnsi="Arial" w:cs="Arial"/>
              <w:b/>
              <w:bCs/>
              <w:sz w:val="16"/>
            </w:rPr>
          </w:pPr>
        </w:p>
        <w:p w:rsidR="005C2B55" w:rsidRDefault="005C2B55" w:rsidP="005C2B55">
          <w:pPr>
            <w:pStyle w:val="Header"/>
            <w:rPr>
              <w:rFonts w:ascii="Arial" w:hAnsi="Arial" w:cs="Arial"/>
              <w:b/>
              <w:bCs/>
            </w:rPr>
          </w:pPr>
          <w:r>
            <w:rPr>
              <w:rFonts w:ascii="Arial" w:hAnsi="Arial" w:cs="Arial"/>
              <w:b/>
              <w:bCs/>
            </w:rPr>
            <w:t>POLICY TITLE:</w:t>
          </w:r>
        </w:p>
      </w:tc>
      <w:tc>
        <w:tcPr>
          <w:tcW w:w="5040" w:type="dxa"/>
        </w:tcPr>
        <w:p w:rsidR="005C2B55" w:rsidRDefault="005C2B55" w:rsidP="005C2B55">
          <w:pPr>
            <w:pStyle w:val="Header"/>
            <w:rPr>
              <w:rFonts w:ascii="Arial" w:hAnsi="Arial" w:cs="Arial"/>
              <w:b/>
              <w:bCs/>
              <w:sz w:val="16"/>
            </w:rPr>
          </w:pPr>
        </w:p>
        <w:p w:rsidR="005C2B55" w:rsidRDefault="005C2B55" w:rsidP="005C2B55">
          <w:pPr>
            <w:pStyle w:val="Header"/>
            <w:rPr>
              <w:rFonts w:ascii="Arial" w:hAnsi="Arial" w:cs="Arial"/>
              <w:b/>
              <w:bCs/>
            </w:rPr>
          </w:pPr>
          <w:r>
            <w:rPr>
              <w:rFonts w:ascii="Arial" w:hAnsi="Arial" w:cs="Arial"/>
              <w:b/>
              <w:bCs/>
            </w:rPr>
            <w:t>Name-Clearing Hearing</w:t>
          </w:r>
        </w:p>
      </w:tc>
      <w:tc>
        <w:tcPr>
          <w:tcW w:w="2380" w:type="dxa"/>
        </w:tcPr>
        <w:p w:rsidR="005C2B55" w:rsidRDefault="005C2B55" w:rsidP="005C2B55">
          <w:pPr>
            <w:pStyle w:val="Header"/>
            <w:rPr>
              <w:rFonts w:ascii="Arial" w:hAnsi="Arial" w:cs="Arial"/>
              <w:b/>
              <w:bCs/>
              <w:sz w:val="16"/>
            </w:rPr>
          </w:pPr>
        </w:p>
        <w:p w:rsidR="005C2B55" w:rsidRDefault="005C2B55" w:rsidP="005C2B55">
          <w:pPr>
            <w:pStyle w:val="Header"/>
            <w:jc w:val="right"/>
            <w:rPr>
              <w:rFonts w:ascii="Arial" w:hAnsi="Arial" w:cs="Arial"/>
              <w:b/>
              <w:bCs/>
            </w:rPr>
          </w:pPr>
          <w:r>
            <w:rPr>
              <w:rFonts w:ascii="Arial" w:hAnsi="Arial" w:cs="Arial"/>
              <w:b/>
              <w:bCs/>
            </w:rPr>
            <w:t>POLICY NO:  422</w:t>
          </w:r>
        </w:p>
        <w:p w:rsidR="005C2B55" w:rsidRDefault="005C2B55" w:rsidP="005C2B55">
          <w:pPr>
            <w:pStyle w:val="Header"/>
            <w:jc w:val="right"/>
            <w:rPr>
              <w:rStyle w:val="PageNumber"/>
              <w:rFonts w:ascii="Arial" w:hAnsi="Arial" w:cs="Arial"/>
              <w:b/>
              <w:bCs/>
            </w:rPr>
          </w:pPr>
          <w:r>
            <w:rPr>
              <w:rFonts w:ascii="Arial" w:hAnsi="Arial" w:cs="Arial"/>
              <w:b/>
              <w:bCs/>
            </w:rPr>
            <w:t xml:space="preserve">PAGE </w:t>
          </w:r>
          <w:r>
            <w:rPr>
              <w:rStyle w:val="PageNumber"/>
              <w:rFonts w:ascii="Arial" w:hAnsi="Arial" w:cs="Arial"/>
              <w:b/>
              <w:bCs/>
            </w:rPr>
            <w:fldChar w:fldCharType="begin"/>
          </w:r>
          <w:r>
            <w:rPr>
              <w:rStyle w:val="PageNumber"/>
              <w:rFonts w:ascii="Arial" w:hAnsi="Arial" w:cs="Arial"/>
              <w:b/>
              <w:bCs/>
            </w:rPr>
            <w:instrText xml:space="preserve"> PAGE </w:instrText>
          </w:r>
          <w:r>
            <w:rPr>
              <w:rStyle w:val="PageNumber"/>
              <w:rFonts w:ascii="Arial" w:hAnsi="Arial" w:cs="Arial"/>
              <w:b/>
              <w:bCs/>
            </w:rPr>
            <w:fldChar w:fldCharType="separate"/>
          </w:r>
          <w:r w:rsidR="00C620AA">
            <w:rPr>
              <w:rStyle w:val="PageNumber"/>
              <w:rFonts w:ascii="Arial" w:hAnsi="Arial" w:cs="Arial"/>
              <w:b/>
              <w:bCs/>
              <w:noProof/>
            </w:rPr>
            <w:t>1</w:t>
          </w:r>
          <w:r>
            <w:rPr>
              <w:rStyle w:val="PageNumber"/>
              <w:rFonts w:ascii="Arial" w:hAnsi="Arial" w:cs="Arial"/>
              <w:b/>
              <w:bCs/>
            </w:rPr>
            <w:fldChar w:fldCharType="end"/>
          </w:r>
          <w:r>
            <w:rPr>
              <w:rStyle w:val="PageNumber"/>
              <w:rFonts w:ascii="Arial" w:hAnsi="Arial" w:cs="Arial"/>
              <w:b/>
              <w:bCs/>
            </w:rPr>
            <w:t xml:space="preserve"> of </w:t>
          </w:r>
          <w:r w:rsidR="00C620AA">
            <w:rPr>
              <w:rStyle w:val="PageNumber"/>
              <w:rFonts w:ascii="Arial" w:hAnsi="Arial" w:cs="Arial"/>
              <w:b/>
              <w:bCs/>
            </w:rPr>
            <w:t>2</w:t>
          </w:r>
        </w:p>
        <w:p w:rsidR="005C2B55" w:rsidRDefault="005C2B55" w:rsidP="005C2B55">
          <w:pPr>
            <w:pStyle w:val="Header"/>
            <w:jc w:val="right"/>
            <w:rPr>
              <w:rFonts w:ascii="Arial" w:hAnsi="Arial" w:cs="Arial"/>
              <w:b/>
              <w:bCs/>
            </w:rPr>
          </w:pPr>
        </w:p>
      </w:tc>
    </w:tr>
  </w:tbl>
  <w:p w:rsidR="005C2B55" w:rsidRDefault="005C2B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425B7"/>
    <w:multiLevelType w:val="hybridMultilevel"/>
    <w:tmpl w:val="3BD4B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C45989"/>
    <w:multiLevelType w:val="hybridMultilevel"/>
    <w:tmpl w:val="3D3C8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8E59E0"/>
    <w:multiLevelType w:val="hybridMultilevel"/>
    <w:tmpl w:val="69A2D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8BD"/>
    <w:rsid w:val="00052534"/>
    <w:rsid w:val="0014251E"/>
    <w:rsid w:val="001B15C3"/>
    <w:rsid w:val="002C3836"/>
    <w:rsid w:val="00316B3C"/>
    <w:rsid w:val="00342B5E"/>
    <w:rsid w:val="004741EB"/>
    <w:rsid w:val="004E3F8D"/>
    <w:rsid w:val="005508BD"/>
    <w:rsid w:val="005A29EC"/>
    <w:rsid w:val="005C2B55"/>
    <w:rsid w:val="005E426F"/>
    <w:rsid w:val="00623E48"/>
    <w:rsid w:val="008608DE"/>
    <w:rsid w:val="00926F5B"/>
    <w:rsid w:val="00A002C0"/>
    <w:rsid w:val="00AC488B"/>
    <w:rsid w:val="00BB54D7"/>
    <w:rsid w:val="00C620AA"/>
    <w:rsid w:val="00DA7C02"/>
    <w:rsid w:val="00DC6019"/>
    <w:rsid w:val="00E07860"/>
    <w:rsid w:val="00E65525"/>
    <w:rsid w:val="00F06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8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E48"/>
    <w:pPr>
      <w:ind w:left="720"/>
      <w:contextualSpacing/>
    </w:pPr>
  </w:style>
  <w:style w:type="paragraph" w:styleId="Header">
    <w:name w:val="header"/>
    <w:basedOn w:val="Normal"/>
    <w:link w:val="HeaderChar"/>
    <w:unhideWhenUsed/>
    <w:rsid w:val="005C2B55"/>
    <w:pPr>
      <w:tabs>
        <w:tab w:val="center" w:pos="4680"/>
        <w:tab w:val="right" w:pos="9360"/>
      </w:tabs>
    </w:pPr>
  </w:style>
  <w:style w:type="character" w:customStyle="1" w:styleId="HeaderChar">
    <w:name w:val="Header Char"/>
    <w:basedOn w:val="DefaultParagraphFont"/>
    <w:link w:val="Header"/>
    <w:uiPriority w:val="99"/>
    <w:rsid w:val="005C2B55"/>
    <w:rPr>
      <w:rFonts w:ascii="Times New Roman" w:eastAsia="Times New Roman" w:hAnsi="Times New Roman" w:cs="Times New Roman"/>
      <w:sz w:val="24"/>
      <w:szCs w:val="24"/>
    </w:rPr>
  </w:style>
  <w:style w:type="paragraph" w:styleId="Footer">
    <w:name w:val="footer"/>
    <w:basedOn w:val="Normal"/>
    <w:link w:val="FooterChar"/>
    <w:unhideWhenUsed/>
    <w:rsid w:val="005C2B55"/>
    <w:pPr>
      <w:tabs>
        <w:tab w:val="center" w:pos="4680"/>
        <w:tab w:val="right" w:pos="9360"/>
      </w:tabs>
    </w:pPr>
  </w:style>
  <w:style w:type="character" w:customStyle="1" w:styleId="FooterChar">
    <w:name w:val="Footer Char"/>
    <w:basedOn w:val="DefaultParagraphFont"/>
    <w:link w:val="Footer"/>
    <w:uiPriority w:val="99"/>
    <w:rsid w:val="005C2B55"/>
    <w:rPr>
      <w:rFonts w:ascii="Times New Roman" w:eastAsia="Times New Roman" w:hAnsi="Times New Roman" w:cs="Times New Roman"/>
      <w:sz w:val="24"/>
      <w:szCs w:val="24"/>
    </w:rPr>
  </w:style>
  <w:style w:type="character" w:styleId="PageNumber">
    <w:name w:val="page number"/>
    <w:basedOn w:val="DefaultParagraphFont"/>
    <w:rsid w:val="005C2B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8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E48"/>
    <w:pPr>
      <w:ind w:left="720"/>
      <w:contextualSpacing/>
    </w:pPr>
  </w:style>
  <w:style w:type="paragraph" w:styleId="Header">
    <w:name w:val="header"/>
    <w:basedOn w:val="Normal"/>
    <w:link w:val="HeaderChar"/>
    <w:unhideWhenUsed/>
    <w:rsid w:val="005C2B55"/>
    <w:pPr>
      <w:tabs>
        <w:tab w:val="center" w:pos="4680"/>
        <w:tab w:val="right" w:pos="9360"/>
      </w:tabs>
    </w:pPr>
  </w:style>
  <w:style w:type="character" w:customStyle="1" w:styleId="HeaderChar">
    <w:name w:val="Header Char"/>
    <w:basedOn w:val="DefaultParagraphFont"/>
    <w:link w:val="Header"/>
    <w:uiPriority w:val="99"/>
    <w:rsid w:val="005C2B55"/>
    <w:rPr>
      <w:rFonts w:ascii="Times New Roman" w:eastAsia="Times New Roman" w:hAnsi="Times New Roman" w:cs="Times New Roman"/>
      <w:sz w:val="24"/>
      <w:szCs w:val="24"/>
    </w:rPr>
  </w:style>
  <w:style w:type="paragraph" w:styleId="Footer">
    <w:name w:val="footer"/>
    <w:basedOn w:val="Normal"/>
    <w:link w:val="FooterChar"/>
    <w:unhideWhenUsed/>
    <w:rsid w:val="005C2B55"/>
    <w:pPr>
      <w:tabs>
        <w:tab w:val="center" w:pos="4680"/>
        <w:tab w:val="right" w:pos="9360"/>
      </w:tabs>
    </w:pPr>
  </w:style>
  <w:style w:type="character" w:customStyle="1" w:styleId="FooterChar">
    <w:name w:val="Footer Char"/>
    <w:basedOn w:val="DefaultParagraphFont"/>
    <w:link w:val="Footer"/>
    <w:uiPriority w:val="99"/>
    <w:rsid w:val="005C2B55"/>
    <w:rPr>
      <w:rFonts w:ascii="Times New Roman" w:eastAsia="Times New Roman" w:hAnsi="Times New Roman" w:cs="Times New Roman"/>
      <w:sz w:val="24"/>
      <w:szCs w:val="24"/>
    </w:rPr>
  </w:style>
  <w:style w:type="character" w:styleId="PageNumber">
    <w:name w:val="page number"/>
    <w:basedOn w:val="DefaultParagraphFont"/>
    <w:rsid w:val="005C2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646464"/>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FA562-12C1-4F51-8195-7EF103685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Eberharter-Maki</dc:creator>
  <cp:lastModifiedBy>Emily Obenchain</cp:lastModifiedBy>
  <cp:revision>4</cp:revision>
  <cp:lastPrinted>2016-03-16T16:34:00Z</cp:lastPrinted>
  <dcterms:created xsi:type="dcterms:W3CDTF">2016-03-10T18:24:00Z</dcterms:created>
  <dcterms:modified xsi:type="dcterms:W3CDTF">2016-03-16T16:34:00Z</dcterms:modified>
</cp:coreProperties>
</file>