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90F26" w14:textId="77777777" w:rsidR="00044977" w:rsidRPr="00BC75EF" w:rsidRDefault="00044977">
      <w:pPr>
        <w:pStyle w:val="Header"/>
        <w:tabs>
          <w:tab w:val="clear" w:pos="4320"/>
          <w:tab w:val="clear" w:pos="8640"/>
        </w:tabs>
        <w:rPr>
          <w:rFonts w:ascii="Arial" w:hAnsi="Arial" w:cs="Arial"/>
          <w:szCs w:val="20"/>
        </w:rPr>
      </w:pPr>
    </w:p>
    <w:p w14:paraId="6D46DCEC" w14:textId="3D424221" w:rsidR="00044977" w:rsidRPr="00BC75EF" w:rsidRDefault="00044977" w:rsidP="003637B4">
      <w:pPr>
        <w:jc w:val="both"/>
      </w:pPr>
      <w:r w:rsidRPr="00BC75EF">
        <w:t xml:space="preserve">The board of trustees </w:t>
      </w:r>
      <w:r w:rsidR="00BC75EF" w:rsidRPr="00BC75EF">
        <w:t>of Parma School District No. 137</w:t>
      </w:r>
      <w:r w:rsidRPr="00BC75EF">
        <w:t xml:space="preserve"> authorizes the use of electronic surveillance on school premises to ensure the health, safety, and well-being of all staff, students, and visitors, and to safeguard district facilities and property.  Electronic surveillance may be used in common areas as determined to be appropriate by the superintendent.</w:t>
      </w:r>
    </w:p>
    <w:p w14:paraId="52964BCF" w14:textId="77777777" w:rsidR="00044977" w:rsidRPr="00BC75EF" w:rsidRDefault="00044977" w:rsidP="00044977">
      <w:bookmarkStart w:id="0" w:name="_GoBack"/>
      <w:bookmarkEnd w:id="0"/>
    </w:p>
    <w:p w14:paraId="415B2194" w14:textId="77777777" w:rsidR="00044977" w:rsidRPr="00BC75EF" w:rsidRDefault="00044977" w:rsidP="00044977"/>
    <w:p w14:paraId="6081039A" w14:textId="4DF4BB08" w:rsidR="00044977" w:rsidRPr="00BC75EF" w:rsidRDefault="00044977" w:rsidP="00044977">
      <w:pPr>
        <w:rPr>
          <w:b/>
        </w:rPr>
      </w:pPr>
      <w:r w:rsidRPr="00BC75EF">
        <w:rPr>
          <w:b/>
        </w:rPr>
        <w:t>DEFINITIONS</w:t>
      </w:r>
    </w:p>
    <w:p w14:paraId="507404A2" w14:textId="77777777" w:rsidR="00044977" w:rsidRPr="00BC75EF" w:rsidRDefault="00044977" w:rsidP="00044977">
      <w:pPr>
        <w:rPr>
          <w:b/>
        </w:rPr>
      </w:pPr>
    </w:p>
    <w:p w14:paraId="6340BB1E" w14:textId="16E72BA3" w:rsidR="00044977" w:rsidRPr="00BC75EF" w:rsidRDefault="00044977" w:rsidP="003637B4">
      <w:pPr>
        <w:spacing w:after="240"/>
        <w:jc w:val="both"/>
      </w:pPr>
      <w:r w:rsidRPr="00BC75EF">
        <w:t xml:space="preserve">“Common area” means any area within the school district that is not being used for instructional study or where there is no reasonable expectation of privacy, including but not limited to, hallways, auditoriums, cafeterias, libraries, gymnasiums, entrances, parking areas, and school transportation. </w:t>
      </w:r>
    </w:p>
    <w:p w14:paraId="4557670F" w14:textId="3D81C6CF" w:rsidR="00044977" w:rsidRPr="00BC75EF" w:rsidRDefault="00044977" w:rsidP="003637B4">
      <w:pPr>
        <w:spacing w:after="240"/>
        <w:jc w:val="both"/>
      </w:pPr>
      <w:r w:rsidRPr="00BC75EF">
        <w:t>“District property” means any property owned or operated by the district including inside any district building or on district grounds and vehicles.</w:t>
      </w:r>
    </w:p>
    <w:p w14:paraId="45197946" w14:textId="36B4CEB0" w:rsidR="00044977" w:rsidRPr="00BC75EF" w:rsidRDefault="00044977" w:rsidP="003637B4">
      <w:pPr>
        <w:spacing w:after="240"/>
        <w:jc w:val="both"/>
      </w:pPr>
      <w:r w:rsidRPr="00BC75EF">
        <w:t>“Electronic surveillance” means video/digital components of multi-media surveillance systems, including but not limited to, cameras, recording units, tapes, CD/DVDs, camera phones, tablets, etc.  All electronic surveillance shall be limited to video without recording sound so as to prevent any violation of Idaho wiretapping statutes.</w:t>
      </w:r>
    </w:p>
    <w:p w14:paraId="404F3F0C" w14:textId="2CB498E1" w:rsidR="00044977" w:rsidRPr="00BC75EF" w:rsidRDefault="00044977" w:rsidP="003637B4">
      <w:pPr>
        <w:jc w:val="both"/>
      </w:pPr>
      <w:r w:rsidRPr="00BC75EF">
        <w:rPr>
          <w:b/>
        </w:rPr>
        <w:t>NOTICE</w:t>
      </w:r>
    </w:p>
    <w:p w14:paraId="3B329364" w14:textId="77777777" w:rsidR="00044977" w:rsidRPr="00BC75EF" w:rsidRDefault="00044977" w:rsidP="003637B4">
      <w:pPr>
        <w:jc w:val="both"/>
      </w:pPr>
    </w:p>
    <w:p w14:paraId="1E4D299D" w14:textId="30813C22" w:rsidR="00044977" w:rsidRPr="00BC75EF" w:rsidRDefault="00044977" w:rsidP="003637B4">
      <w:pPr>
        <w:jc w:val="both"/>
      </w:pPr>
      <w:r w:rsidRPr="00BC75EF">
        <w:t>This policy will serve as notice to staff and students that video surveillance may occur on school premises.  Additional notice of the existence of electronic surveillance cameras may be posted at the entrance to any school building where such electronic surveillance may be in use. The building principal may notify students, staff and visitors at the beginning of each school year that the District will be monitored by Electronic Surveillance.</w:t>
      </w:r>
    </w:p>
    <w:p w14:paraId="11422E0D" w14:textId="77777777" w:rsidR="00044977" w:rsidRPr="00BC75EF" w:rsidRDefault="00044977" w:rsidP="003637B4">
      <w:pPr>
        <w:jc w:val="both"/>
      </w:pPr>
    </w:p>
    <w:p w14:paraId="32ED5D2C" w14:textId="589A8566" w:rsidR="00044977" w:rsidRPr="00BC75EF" w:rsidRDefault="00044977" w:rsidP="003637B4">
      <w:pPr>
        <w:jc w:val="both"/>
        <w:rPr>
          <w:b/>
        </w:rPr>
      </w:pPr>
      <w:r w:rsidRPr="00BC75EF">
        <w:rPr>
          <w:b/>
        </w:rPr>
        <w:t xml:space="preserve">USE OF ELECTRONIC SURVEILLANCE </w:t>
      </w:r>
    </w:p>
    <w:p w14:paraId="571C4084" w14:textId="77777777" w:rsidR="00044977" w:rsidRPr="00BC75EF" w:rsidRDefault="00044977" w:rsidP="003637B4">
      <w:pPr>
        <w:jc w:val="both"/>
      </w:pPr>
    </w:p>
    <w:p w14:paraId="71E3F87E" w14:textId="34C27AD5" w:rsidR="00044977" w:rsidRPr="00BC75EF" w:rsidRDefault="00044977" w:rsidP="003637B4">
      <w:pPr>
        <w:jc w:val="both"/>
      </w:pPr>
      <w:r w:rsidRPr="00BC75EF">
        <w:t xml:space="preserve">Electronic surveillance may be used to determine if staff, students, or visitors have violated board policies, administrative directives, building rules, or laws.  Staff, students, or visitors may be subject to disciplinary action and/or referred to law enforcement regarding conduct captured by electronic surveillance.  </w:t>
      </w:r>
    </w:p>
    <w:p w14:paraId="51C0F33B" w14:textId="77777777" w:rsidR="00044977" w:rsidRPr="00BC75EF" w:rsidRDefault="00044977" w:rsidP="003637B4">
      <w:pPr>
        <w:jc w:val="both"/>
      </w:pPr>
    </w:p>
    <w:p w14:paraId="72400934" w14:textId="0939A873" w:rsidR="00044977" w:rsidRPr="00BC75EF" w:rsidRDefault="00044977" w:rsidP="003637B4">
      <w:pPr>
        <w:jc w:val="both"/>
      </w:pPr>
      <w:r w:rsidRPr="00BC75EF">
        <w:t>The administration is authorized to determine the frequency that electronic surveillance will be reviewed as well as the placement and focus point of all cameras.</w:t>
      </w:r>
    </w:p>
    <w:p w14:paraId="1DAE09E0" w14:textId="77777777" w:rsidR="00044977" w:rsidRPr="00BC75EF" w:rsidRDefault="00044977" w:rsidP="003637B4">
      <w:pPr>
        <w:jc w:val="both"/>
      </w:pPr>
    </w:p>
    <w:p w14:paraId="38BDA520" w14:textId="03FFF755" w:rsidR="00044977" w:rsidRPr="00BC75EF" w:rsidRDefault="00044977" w:rsidP="003637B4">
      <w:pPr>
        <w:jc w:val="both"/>
      </w:pPr>
      <w:r w:rsidRPr="00BC75EF">
        <w:t>Electronic surveillance will not be used as part of a teacher evaluation</w:t>
      </w:r>
      <w:r w:rsidR="0036687C" w:rsidRPr="00BC75EF">
        <w:t xml:space="preserve"> or discipline,</w:t>
      </w:r>
      <w:r w:rsidR="003637B4" w:rsidRPr="00BC75EF">
        <w:t xml:space="preserve"> </w:t>
      </w:r>
      <w:r w:rsidR="006B4BAF" w:rsidRPr="00BC75EF">
        <w:t>unless the information contained on the electronic surveillance directly relates to a teacher’s performance or conduct</w:t>
      </w:r>
      <w:r w:rsidRPr="00BC75EF">
        <w:t xml:space="preserve">.  </w:t>
      </w:r>
    </w:p>
    <w:p w14:paraId="5E7492CA" w14:textId="77777777" w:rsidR="00044977" w:rsidRPr="00BC75EF" w:rsidRDefault="00044977" w:rsidP="00044977"/>
    <w:p w14:paraId="39304B3D" w14:textId="4B77385B" w:rsidR="00044977" w:rsidRPr="00BC75EF" w:rsidRDefault="00044977" w:rsidP="00044977">
      <w:pPr>
        <w:rPr>
          <w:b/>
        </w:rPr>
      </w:pPr>
      <w:r w:rsidRPr="00BC75EF">
        <w:rPr>
          <w:b/>
        </w:rPr>
        <w:lastRenderedPageBreak/>
        <w:t>EDUCATIONAL AND PERSONNEL RECORDS</w:t>
      </w:r>
    </w:p>
    <w:p w14:paraId="0CC346AB" w14:textId="77777777" w:rsidR="00044977" w:rsidRPr="00BC75EF" w:rsidRDefault="00044977" w:rsidP="00044977"/>
    <w:p w14:paraId="3A7AC9FD" w14:textId="07A02526" w:rsidR="00044977" w:rsidRPr="00BC75EF" w:rsidRDefault="00044977" w:rsidP="003637B4">
      <w:pPr>
        <w:jc w:val="both"/>
      </w:pPr>
      <w:r w:rsidRPr="00BC75EF">
        <w:t xml:space="preserve">Electronic surveillance may, at the discretion of the superintendent, be made a part of a student’s educational record or a part of a staff member’s personnel record.  The disclosure of student educational records is governed by the Family Educational Rights and Privacy Act (FERPA) and Policy No. 681, Student Records.  Employee records are confidential pursuant to section 33-518, Idaho Code, and Policy No. 411, Personnel Files.  </w:t>
      </w:r>
    </w:p>
    <w:p w14:paraId="13A3CDC6" w14:textId="77777777" w:rsidR="00044977" w:rsidRPr="00BC75EF" w:rsidRDefault="00044977" w:rsidP="003637B4">
      <w:pPr>
        <w:jc w:val="both"/>
      </w:pPr>
    </w:p>
    <w:p w14:paraId="0E19D6C3" w14:textId="5CD6E1D8" w:rsidR="00044977" w:rsidRPr="00BC75EF" w:rsidRDefault="00044977" w:rsidP="003637B4">
      <w:pPr>
        <w:jc w:val="both"/>
      </w:pPr>
      <w:r w:rsidRPr="00BC75EF">
        <w:t xml:space="preserve">All electronic surveillance that is not made a part of the educational record or a part of the personnel record </w:t>
      </w:r>
      <w:proofErr w:type="gramStart"/>
      <w:r w:rsidR="006B4BAF" w:rsidRPr="00BC75EF">
        <w:t>is  a</w:t>
      </w:r>
      <w:proofErr w:type="gramEnd"/>
      <w:r w:rsidR="006B4BAF" w:rsidRPr="00BC75EF">
        <w:t xml:space="preserve"> </w:t>
      </w:r>
      <w:r w:rsidRPr="00BC75EF">
        <w:t>public record subject to public disclosure under section 74-101 (11), Idaho Code for the duration that it is maintained. .  The district reserves the right to edit, including concealing identities, any electronic surveillance recordings to comply with applicable state and federal law prior to any release or disclosure.</w:t>
      </w:r>
    </w:p>
    <w:p w14:paraId="1050A24D" w14:textId="77777777" w:rsidR="00044977" w:rsidRPr="00BC75EF" w:rsidRDefault="00044977" w:rsidP="003637B4">
      <w:pPr>
        <w:jc w:val="both"/>
      </w:pPr>
    </w:p>
    <w:p w14:paraId="006F24F1" w14:textId="77777777" w:rsidR="00044977" w:rsidRPr="00BC75EF" w:rsidRDefault="00044977" w:rsidP="003637B4">
      <w:pPr>
        <w:jc w:val="both"/>
        <w:rPr>
          <w:b/>
        </w:rPr>
      </w:pPr>
      <w:r w:rsidRPr="00BC75EF">
        <w:rPr>
          <w:b/>
        </w:rPr>
        <w:t xml:space="preserve">RETENTION </w:t>
      </w:r>
    </w:p>
    <w:p w14:paraId="42E8D12C" w14:textId="77777777" w:rsidR="00044977" w:rsidRPr="00BC75EF" w:rsidRDefault="00044977" w:rsidP="003637B4">
      <w:pPr>
        <w:jc w:val="both"/>
      </w:pPr>
    </w:p>
    <w:p w14:paraId="78AD517C" w14:textId="2DAC7B3E" w:rsidR="00044977" w:rsidRPr="00BC75EF" w:rsidRDefault="00044977" w:rsidP="003637B4">
      <w:pPr>
        <w:jc w:val="both"/>
      </w:pPr>
      <w:r w:rsidRPr="00BC75EF">
        <w:t xml:space="preserve">The electronic surveillance recordings will be retained for a </w:t>
      </w:r>
      <w:r w:rsidRPr="00BC75EF">
        <w:rPr>
          <w:iCs/>
        </w:rPr>
        <w:t>minimum</w:t>
      </w:r>
      <w:r w:rsidR="00BC75EF" w:rsidRPr="00BC75EF">
        <w:t xml:space="preserve"> of 24 </w:t>
      </w:r>
      <w:r w:rsidRPr="00BC75EF">
        <w:t xml:space="preserve">months/days.  All recordings shall be disposed of in a secure manner.  The district shall have no duty to retain electronic surveillance recordings longer than this retention period, unless a public record request is received.  The superintendent or the designated district records custodian will be responsible to review a sample of electronic surveillance on a periodic basis. </w:t>
      </w:r>
    </w:p>
    <w:p w14:paraId="2C1BF8CF" w14:textId="77777777" w:rsidR="00044977" w:rsidRPr="00BC75EF" w:rsidRDefault="00044977" w:rsidP="003637B4">
      <w:pPr>
        <w:jc w:val="both"/>
      </w:pPr>
    </w:p>
    <w:p w14:paraId="4824F34B" w14:textId="1722B326" w:rsidR="00044977" w:rsidRPr="00BC75EF" w:rsidRDefault="00044977" w:rsidP="003637B4">
      <w:pPr>
        <w:jc w:val="both"/>
      </w:pPr>
      <w:r w:rsidRPr="00BC75EF">
        <w:t>Only the superintendent, principal, or individuals authorized by the superintendent or principal will have access to electronic surveillance recordings</w:t>
      </w:r>
      <w:r w:rsidR="008E400E" w:rsidRPr="00BC75EF">
        <w:t>.</w:t>
      </w:r>
      <w:r w:rsidRPr="00BC75EF">
        <w:t xml:space="preserve">  All electronic surveillance recordings will comply with state and federal law, including Policy No. 681.50, Protection of Student Data. </w:t>
      </w:r>
    </w:p>
    <w:p w14:paraId="4C9652C5" w14:textId="77777777" w:rsidR="00044977" w:rsidRPr="00BC75EF" w:rsidRDefault="00044977" w:rsidP="00044977">
      <w:pPr>
        <w:pStyle w:val="BodyText"/>
        <w:rPr>
          <w:i w:val="0"/>
        </w:rPr>
      </w:pPr>
    </w:p>
    <w:p w14:paraId="3DF23731" w14:textId="77777777" w:rsidR="00044977" w:rsidRPr="00BC75EF" w:rsidRDefault="00044977" w:rsidP="00044977">
      <w:pPr>
        <w:pStyle w:val="Header"/>
        <w:keepNext/>
        <w:tabs>
          <w:tab w:val="clear" w:pos="4320"/>
          <w:tab w:val="clear" w:pos="8640"/>
        </w:tabs>
        <w:jc w:val="center"/>
        <w:rPr>
          <w:rFonts w:ascii="Arial" w:hAnsi="Arial" w:cs="Arial"/>
          <w:b/>
          <w:bCs/>
          <w:sz w:val="28"/>
        </w:rPr>
      </w:pPr>
      <w:r w:rsidRPr="00BC75EF">
        <w:rPr>
          <w:rFonts w:ascii="Arial" w:hAnsi="Arial" w:cs="Arial"/>
          <w:b/>
          <w:bCs/>
          <w:sz w:val="28"/>
        </w:rPr>
        <w:t>♦ ♦ ♦ ♦ ♦ ♦ ♦</w:t>
      </w:r>
    </w:p>
    <w:p w14:paraId="103C34A9" w14:textId="77777777" w:rsidR="00044977" w:rsidRPr="00BC75EF" w:rsidRDefault="00044977" w:rsidP="00044977">
      <w:pPr>
        <w:pStyle w:val="Header"/>
        <w:keepNext/>
        <w:tabs>
          <w:tab w:val="clear" w:pos="4320"/>
          <w:tab w:val="clear" w:pos="8640"/>
        </w:tabs>
        <w:rPr>
          <w:rFonts w:ascii="Arial" w:hAnsi="Arial" w:cs="Arial"/>
        </w:rPr>
      </w:pPr>
    </w:p>
    <w:p w14:paraId="70BCF369" w14:textId="77777777" w:rsidR="00044977" w:rsidRPr="00BC75EF" w:rsidRDefault="00044977" w:rsidP="00044977">
      <w:pPr>
        <w:pStyle w:val="Header"/>
        <w:keepNext/>
        <w:tabs>
          <w:tab w:val="clear" w:pos="4320"/>
          <w:tab w:val="clear" w:pos="8640"/>
        </w:tabs>
        <w:rPr>
          <w:rFonts w:ascii="Arial" w:hAnsi="Arial" w:cs="Arial"/>
          <w:b/>
          <w:bCs/>
        </w:rPr>
      </w:pPr>
      <w:r w:rsidRPr="00BC75EF">
        <w:rPr>
          <w:rFonts w:ascii="Arial" w:hAnsi="Arial" w:cs="Arial"/>
          <w:b/>
          <w:bCs/>
        </w:rPr>
        <w:t>LEGAL REFERENCE:</w:t>
      </w:r>
    </w:p>
    <w:p w14:paraId="1BD2EFF1" w14:textId="77777777" w:rsidR="00044977" w:rsidRPr="00BC75EF" w:rsidRDefault="00044977" w:rsidP="00044977">
      <w:pPr>
        <w:pStyle w:val="BodyText"/>
        <w:keepNext/>
        <w:rPr>
          <w:i w:val="0"/>
          <w:iCs w:val="0"/>
        </w:rPr>
      </w:pPr>
      <w:r w:rsidRPr="00BC75EF">
        <w:rPr>
          <w:i w:val="0"/>
          <w:iCs w:val="0"/>
        </w:rPr>
        <w:t>Idaho Code Section 33-518 – Employee Personnel Files</w:t>
      </w:r>
    </w:p>
    <w:p w14:paraId="064BC081" w14:textId="77777777" w:rsidR="00044977" w:rsidRPr="00BC75EF" w:rsidRDefault="00044977" w:rsidP="00044977">
      <w:pPr>
        <w:pStyle w:val="BodyText"/>
        <w:keepNext/>
        <w:rPr>
          <w:i w:val="0"/>
          <w:iCs w:val="0"/>
        </w:rPr>
      </w:pPr>
      <w:r w:rsidRPr="00BC75EF">
        <w:rPr>
          <w:i w:val="0"/>
          <w:iCs w:val="0"/>
        </w:rPr>
        <w:t xml:space="preserve">Idaho Code Section 33-133 – Definitions – Student Data – Use and Limitations – Penalties </w:t>
      </w:r>
    </w:p>
    <w:p w14:paraId="2324C113" w14:textId="77777777" w:rsidR="00044977" w:rsidRPr="00BC75EF" w:rsidRDefault="00044977" w:rsidP="00044977">
      <w:pPr>
        <w:keepNext/>
      </w:pPr>
      <w:r w:rsidRPr="00BC75EF">
        <w:t>The Family Educational Rights and Privacy Act of 1974 (FERPA)</w:t>
      </w:r>
    </w:p>
    <w:p w14:paraId="540FAFD2" w14:textId="77777777" w:rsidR="00044977" w:rsidRPr="00BC75EF" w:rsidRDefault="00044977" w:rsidP="00044977">
      <w:pPr>
        <w:pStyle w:val="Header"/>
        <w:keepNext/>
        <w:tabs>
          <w:tab w:val="clear" w:pos="4320"/>
          <w:tab w:val="clear" w:pos="8640"/>
        </w:tabs>
      </w:pPr>
    </w:p>
    <w:p w14:paraId="78D8F4C9" w14:textId="4D00C367" w:rsidR="00044977" w:rsidRPr="00BC75EF" w:rsidRDefault="00044977" w:rsidP="00044977">
      <w:pPr>
        <w:pStyle w:val="Header"/>
        <w:keepNext/>
        <w:tabs>
          <w:tab w:val="clear" w:pos="4320"/>
          <w:tab w:val="clear" w:pos="8640"/>
        </w:tabs>
        <w:rPr>
          <w:rFonts w:ascii="Arial" w:hAnsi="Arial" w:cs="Arial"/>
        </w:rPr>
      </w:pPr>
      <w:r w:rsidRPr="00BC75EF">
        <w:rPr>
          <w:rFonts w:ascii="Arial" w:hAnsi="Arial" w:cs="Arial"/>
          <w:b/>
          <w:bCs/>
        </w:rPr>
        <w:t>ADOPTED:</w:t>
      </w:r>
      <w:r w:rsidR="00BC75EF" w:rsidRPr="00BC75EF">
        <w:rPr>
          <w:rFonts w:ascii="Arial" w:hAnsi="Arial" w:cs="Arial"/>
          <w:b/>
          <w:bCs/>
        </w:rPr>
        <w:t xml:space="preserve"> March 10, 2008</w:t>
      </w:r>
      <w:r w:rsidRPr="00BC75EF">
        <w:rPr>
          <w:rFonts w:ascii="Arial" w:hAnsi="Arial" w:cs="Arial"/>
          <w:b/>
          <w:bCs/>
        </w:rPr>
        <w:tab/>
      </w:r>
    </w:p>
    <w:p w14:paraId="3633B9A2" w14:textId="77777777" w:rsidR="00044977" w:rsidRPr="00BC75EF" w:rsidRDefault="00044977" w:rsidP="00044977">
      <w:pPr>
        <w:pStyle w:val="Header"/>
        <w:keepNext/>
        <w:tabs>
          <w:tab w:val="clear" w:pos="4320"/>
          <w:tab w:val="clear" w:pos="8640"/>
        </w:tabs>
        <w:rPr>
          <w:rFonts w:ascii="Arial" w:hAnsi="Arial" w:cs="Arial"/>
        </w:rPr>
      </w:pPr>
    </w:p>
    <w:p w14:paraId="79654401" w14:textId="31552401" w:rsidR="00044977" w:rsidRPr="00BC75EF" w:rsidRDefault="00044977" w:rsidP="00044977">
      <w:pPr>
        <w:pStyle w:val="Header"/>
        <w:keepNext/>
        <w:tabs>
          <w:tab w:val="clear" w:pos="4320"/>
          <w:tab w:val="clear" w:pos="8640"/>
        </w:tabs>
        <w:rPr>
          <w:rFonts w:ascii="Arial" w:hAnsi="Arial" w:cs="Arial"/>
          <w:b/>
          <w:bCs/>
        </w:rPr>
      </w:pPr>
      <w:r w:rsidRPr="00BC75EF">
        <w:rPr>
          <w:rFonts w:ascii="Arial" w:hAnsi="Arial" w:cs="Arial"/>
          <w:b/>
          <w:bCs/>
        </w:rPr>
        <w:t>AMENDED:</w:t>
      </w:r>
      <w:r w:rsidR="00BC75EF" w:rsidRPr="00BC75EF">
        <w:rPr>
          <w:rFonts w:ascii="Arial" w:hAnsi="Arial" w:cs="Arial"/>
          <w:b/>
          <w:bCs/>
        </w:rPr>
        <w:t xml:space="preserve"> October 12, 2015</w:t>
      </w:r>
      <w:r w:rsidRPr="00BC75EF">
        <w:rPr>
          <w:rFonts w:ascii="Arial" w:hAnsi="Arial" w:cs="Arial"/>
          <w:b/>
          <w:bCs/>
        </w:rPr>
        <w:tab/>
      </w:r>
    </w:p>
    <w:p w14:paraId="3CEED77E" w14:textId="77777777" w:rsidR="00044977" w:rsidRDefault="00044977" w:rsidP="00044977">
      <w:pPr>
        <w:pStyle w:val="Header"/>
        <w:keepNext/>
        <w:tabs>
          <w:tab w:val="clear" w:pos="4320"/>
          <w:tab w:val="clear" w:pos="8640"/>
        </w:tabs>
        <w:rPr>
          <w:rFonts w:ascii="Arial" w:hAnsi="Arial" w:cs="Arial"/>
          <w:b/>
          <w:bCs/>
        </w:rPr>
      </w:pPr>
    </w:p>
    <w:sectPr w:rsidR="00044977">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0017E" w14:textId="77777777" w:rsidR="00DF18ED" w:rsidRDefault="00DF18ED" w:rsidP="00044977">
      <w:r>
        <w:separator/>
      </w:r>
    </w:p>
  </w:endnote>
  <w:endnote w:type="continuationSeparator" w:id="0">
    <w:p w14:paraId="303E17D6" w14:textId="77777777" w:rsidR="00DF18ED" w:rsidRDefault="00DF18ED" w:rsidP="00044977">
      <w:r>
        <w:continuationSeparator/>
      </w:r>
    </w:p>
  </w:endnote>
  <w:endnote w:type="continuationNotice" w:id="1">
    <w:p w14:paraId="134A5C73" w14:textId="77777777" w:rsidR="00DF18ED" w:rsidRDefault="00DF1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3579" w14:textId="77777777" w:rsidR="00044977" w:rsidRDefault="00044977">
    <w:pPr>
      <w:pStyle w:val="Footer"/>
      <w:pBdr>
        <w:bottom w:val="single" w:sz="12" w:space="1" w:color="auto"/>
      </w:pBdr>
      <w:rPr>
        <w:rFonts w:ascii="Arial" w:hAnsi="Arial" w:cs="Arial"/>
        <w:b/>
        <w:bCs/>
      </w:rPr>
    </w:pPr>
  </w:p>
  <w:p w14:paraId="3DE342F1" w14:textId="46E6D10E" w:rsidR="00044977" w:rsidRDefault="00044977">
    <w:pPr>
      <w:pStyle w:val="Footer"/>
      <w:tabs>
        <w:tab w:val="clear" w:pos="4320"/>
        <w:tab w:val="clear" w:pos="8640"/>
        <w:tab w:val="right" w:pos="9360"/>
      </w:tabs>
      <w:rPr>
        <w:rFonts w:ascii="Arial" w:hAnsi="Arial" w:cs="Arial"/>
      </w:rPr>
    </w:pPr>
    <w:r>
      <w:rPr>
        <w:rFonts w:ascii="Arial" w:hAnsi="Arial" w:cs="Arial"/>
        <w:b/>
        <w:bCs/>
      </w:rPr>
      <w:t>SECTION 900:  BUILDING AND SITES</w:t>
    </w:r>
    <w:r>
      <w:rPr>
        <w:rFonts w:ascii="Arial" w:hAnsi="Arial" w:cs="Arial"/>
        <w:b/>
        <w:bCs/>
      </w:rPr>
      <w:tab/>
    </w:r>
    <w:r>
      <w:rPr>
        <w:rFonts w:ascii="Arial" w:hAnsi="Arial" w:cs="Arial"/>
      </w:rPr>
      <w:t xml:space="preserve">© 2015 </w:t>
    </w:r>
    <w:r w:rsidR="006D3825">
      <w:rPr>
        <w:rFonts w:ascii="Arial" w:hAnsi="Arial" w:cs="Arial"/>
      </w:rPr>
      <w:t xml:space="preserve">Moore Smith Buxton &amp; </w:t>
    </w:r>
    <w:proofErr w:type="spellStart"/>
    <w:r w:rsidR="006D3825">
      <w:rPr>
        <w:rFonts w:ascii="Arial" w:hAnsi="Arial" w:cs="Arial"/>
      </w:rPr>
      <w:t>Turcke</w:t>
    </w:r>
    <w:proofErr w:type="spellEnd"/>
    <w:r w:rsidR="006D3825">
      <w:rPr>
        <w:rFonts w:ascii="Arial" w:hAnsi="Arial" w:cs="Arial"/>
      </w:rPr>
      <w:t xml:space="preserve">, </w:t>
    </w:r>
    <w:proofErr w:type="spellStart"/>
    <w:r w:rsidR="006D3825">
      <w:rPr>
        <w:rFonts w:ascii="Arial" w:hAnsi="Arial" w:cs="Arial"/>
      </w:rPr>
      <w:t>Chtd</w:t>
    </w:r>
    <w:proofErr w:type="spellEnd"/>
    <w:r w:rsidR="006D3825">
      <w:rPr>
        <w:rFonts w:ascii="Arial" w:hAnsi="Arial" w:cs="Arial"/>
      </w:rPr>
      <w:t>.</w:t>
    </w:r>
  </w:p>
  <w:p w14:paraId="528BE52D" w14:textId="77777777" w:rsidR="00044977" w:rsidRDefault="00044977">
    <w:pPr>
      <w:pStyle w:val="Footer"/>
      <w:tabs>
        <w:tab w:val="clear" w:pos="4320"/>
        <w:tab w:val="clear" w:pos="8640"/>
        <w:tab w:val="right" w:pos="9360"/>
      </w:tabs>
      <w:jc w:val="right"/>
      <w:rPr>
        <w:rFonts w:ascii="Arial" w:hAnsi="Arial" w:cs="Arial"/>
        <w:sz w:val="20"/>
      </w:rPr>
    </w:pPr>
    <w:r>
      <w:rPr>
        <w:rFonts w:ascii="Arial" w:hAnsi="Arial" w:cs="Arial"/>
        <w:sz w:val="16"/>
      </w:rPr>
      <w:t>D03/15/06-M08/28/06-M04/01/15</w:t>
    </w:r>
    <w:r w:rsidR="006D3825">
      <w:rPr>
        <w:rFonts w:ascii="Arial" w:hAnsi="Arial" w:cs="Arial"/>
        <w:sz w:val="16"/>
      </w:rPr>
      <w:t>-M07/28/15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EE5AC" w14:textId="77777777" w:rsidR="00044977" w:rsidRDefault="00044977">
    <w:pPr>
      <w:pStyle w:val="Footer"/>
      <w:pBdr>
        <w:bottom w:val="single" w:sz="12" w:space="1" w:color="auto"/>
      </w:pBdr>
      <w:rPr>
        <w:rFonts w:ascii="Arial" w:hAnsi="Arial" w:cs="Arial"/>
        <w:b/>
        <w:bCs/>
      </w:rPr>
    </w:pPr>
  </w:p>
  <w:p w14:paraId="136DAC9D" w14:textId="127E1007" w:rsidR="00044977" w:rsidRDefault="00044977" w:rsidP="00044977">
    <w:pPr>
      <w:pStyle w:val="Footer"/>
      <w:tabs>
        <w:tab w:val="clear" w:pos="4320"/>
        <w:tab w:val="clear" w:pos="8640"/>
        <w:tab w:val="right" w:pos="9360"/>
      </w:tabs>
      <w:rPr>
        <w:rFonts w:ascii="Arial" w:hAnsi="Arial" w:cs="Arial"/>
      </w:rPr>
    </w:pPr>
    <w:r>
      <w:rPr>
        <w:rFonts w:ascii="Arial" w:hAnsi="Arial" w:cs="Arial"/>
        <w:b/>
        <w:bCs/>
      </w:rPr>
      <w:t>SECTION 900:  BUILDING AND SITES</w:t>
    </w:r>
    <w:r>
      <w:rPr>
        <w:rFonts w:ascii="Arial" w:hAnsi="Arial" w:cs="Arial"/>
        <w:b/>
        <w:bCs/>
      </w:rPr>
      <w:tab/>
    </w:r>
    <w:r>
      <w:rPr>
        <w:rFonts w:ascii="Arial" w:hAnsi="Arial" w:cs="Arial"/>
      </w:rPr>
      <w:t xml:space="preserve">© 2015 </w:t>
    </w:r>
    <w:r w:rsidR="006D3825">
      <w:rPr>
        <w:rFonts w:ascii="Arial" w:hAnsi="Arial" w:cs="Arial"/>
      </w:rPr>
      <w:t xml:space="preserve">Moore Smith Buxton &amp; </w:t>
    </w:r>
    <w:proofErr w:type="spellStart"/>
    <w:r w:rsidR="006D3825">
      <w:rPr>
        <w:rFonts w:ascii="Arial" w:hAnsi="Arial" w:cs="Arial"/>
      </w:rPr>
      <w:t>Turcke</w:t>
    </w:r>
    <w:proofErr w:type="spellEnd"/>
    <w:r w:rsidR="006D3825">
      <w:rPr>
        <w:rFonts w:ascii="Arial" w:hAnsi="Arial" w:cs="Arial"/>
      </w:rPr>
      <w:t xml:space="preserve">, </w:t>
    </w:r>
    <w:proofErr w:type="spellStart"/>
    <w:r w:rsidR="006D3825">
      <w:rPr>
        <w:rFonts w:ascii="Arial" w:hAnsi="Arial" w:cs="Arial"/>
      </w:rPr>
      <w:t>Chtd</w:t>
    </w:r>
    <w:proofErr w:type="spellEnd"/>
    <w:r w:rsidR="006D3825">
      <w:rPr>
        <w:rFonts w:ascii="Arial" w:hAnsi="Arial" w:cs="Arial"/>
      </w:rPr>
      <w:t>.</w:t>
    </w:r>
  </w:p>
  <w:p w14:paraId="7183AE31" w14:textId="77777777" w:rsidR="00044977" w:rsidRDefault="00044977" w:rsidP="00044977">
    <w:pPr>
      <w:pStyle w:val="Footer"/>
      <w:tabs>
        <w:tab w:val="clear" w:pos="4320"/>
        <w:tab w:val="clear" w:pos="8640"/>
        <w:tab w:val="right" w:pos="9360"/>
      </w:tabs>
      <w:jc w:val="right"/>
      <w:rPr>
        <w:rFonts w:ascii="Arial" w:hAnsi="Arial" w:cs="Arial"/>
      </w:rPr>
    </w:pPr>
    <w:r>
      <w:rPr>
        <w:rFonts w:ascii="Arial" w:hAnsi="Arial" w:cs="Arial"/>
        <w:sz w:val="16"/>
      </w:rPr>
      <w:t>D03/15/06-M08/28/06-M04/01/15</w:t>
    </w:r>
    <w:r w:rsidR="006D3825">
      <w:rPr>
        <w:rFonts w:ascii="Arial" w:hAnsi="Arial" w:cs="Arial"/>
        <w:sz w:val="16"/>
      </w:rPr>
      <w:t>-M07/28/15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79679" w14:textId="77777777" w:rsidR="00DF18ED" w:rsidRDefault="00DF18ED" w:rsidP="00044977">
      <w:r>
        <w:separator/>
      </w:r>
    </w:p>
  </w:footnote>
  <w:footnote w:type="continuationSeparator" w:id="0">
    <w:p w14:paraId="2DBC813F" w14:textId="77777777" w:rsidR="00DF18ED" w:rsidRDefault="00DF18ED" w:rsidP="00044977">
      <w:r>
        <w:continuationSeparator/>
      </w:r>
    </w:p>
  </w:footnote>
  <w:footnote w:type="continuationNotice" w:id="1">
    <w:p w14:paraId="4AA84094" w14:textId="77777777" w:rsidR="00DF18ED" w:rsidRDefault="00DF18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40CBD" w14:textId="201E15CD" w:rsidR="00044977" w:rsidRDefault="00044977">
    <w:pPr>
      <w:pStyle w:val="Header"/>
      <w:pBdr>
        <w:bottom w:val="single" w:sz="12" w:space="1" w:color="auto"/>
      </w:pBdr>
      <w:tabs>
        <w:tab w:val="clear" w:pos="4320"/>
        <w:tab w:val="clear" w:pos="8640"/>
        <w:tab w:val="right" w:pos="9360"/>
      </w:tabs>
      <w:rPr>
        <w:rStyle w:val="PageNumber"/>
        <w:rFonts w:ascii="Arial" w:hAnsi="Arial" w:cs="Arial"/>
      </w:rPr>
    </w:pPr>
    <w:r>
      <w:rPr>
        <w:rFonts w:ascii="Arial" w:hAnsi="Arial" w:cs="Arial"/>
        <w:b/>
        <w:bCs/>
      </w:rPr>
      <w:t>Electronic Surveillance—</w:t>
    </w:r>
    <w:r>
      <w:rPr>
        <w:rFonts w:ascii="Arial" w:hAnsi="Arial" w:cs="Arial"/>
        <w:i/>
        <w:iCs/>
      </w:rPr>
      <w:t>continued</w:t>
    </w:r>
    <w:r>
      <w:rPr>
        <w:rFonts w:ascii="Arial" w:hAnsi="Arial" w:cs="Arial"/>
        <w:i/>
        <w:iCs/>
      </w:rPr>
      <w:tab/>
    </w: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75EF">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sidR="003637B4">
      <w:rPr>
        <w:rStyle w:val="PageNumber"/>
        <w:rFonts w:ascii="Arial" w:hAnsi="Arial" w:cs="Arial"/>
      </w:rPr>
      <w:t>2</w:t>
    </w:r>
  </w:p>
  <w:p w14:paraId="5169825B" w14:textId="77777777" w:rsidR="00044977" w:rsidRDefault="00044977">
    <w:pPr>
      <w:pStyle w:val="Header"/>
      <w:tabs>
        <w:tab w:val="clear" w:pos="4320"/>
        <w:tab w:val="clear" w:pos="8640"/>
        <w:tab w:val="right" w:pos="9360"/>
      </w:tabs>
      <w:rPr>
        <w:rStyle w:val="PageNumber"/>
        <w:rFonts w:ascii="Arial" w:hAnsi="Arial" w:cs="Arial"/>
      </w:rPr>
    </w:pPr>
  </w:p>
  <w:p w14:paraId="57BAB2C7" w14:textId="77777777" w:rsidR="00044977" w:rsidRDefault="00044977">
    <w:pPr>
      <w:pStyle w:val="Header"/>
      <w:tabs>
        <w:tab w:val="clear" w:pos="4320"/>
        <w:tab w:val="clear" w:pos="8640"/>
        <w:tab w:val="right" w:pos="936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thinThickSmallGap" w:sz="24" w:space="0" w:color="000000"/>
        <w:left w:val="thinThickSmallGap" w:sz="24" w:space="0" w:color="000000"/>
        <w:bottom w:val="thickThinSmallGap" w:sz="24" w:space="0" w:color="000000"/>
        <w:right w:val="thickThinSmallGap" w:sz="24" w:space="0" w:color="000000"/>
      </w:tblBorders>
      <w:tblLook w:val="0000" w:firstRow="0" w:lastRow="0" w:firstColumn="0" w:lastColumn="0" w:noHBand="0" w:noVBand="0"/>
    </w:tblPr>
    <w:tblGrid>
      <w:gridCol w:w="1980"/>
      <w:gridCol w:w="5040"/>
      <w:gridCol w:w="2380"/>
    </w:tblGrid>
    <w:tr w:rsidR="00044977" w14:paraId="6E722D54" w14:textId="77777777">
      <w:trPr>
        <w:cantSplit/>
      </w:trPr>
      <w:tc>
        <w:tcPr>
          <w:tcW w:w="1980" w:type="dxa"/>
        </w:tcPr>
        <w:p w14:paraId="4DB27C36" w14:textId="77777777" w:rsidR="00044977" w:rsidRDefault="00044977">
          <w:pPr>
            <w:pStyle w:val="Header"/>
            <w:rPr>
              <w:rFonts w:ascii="Arial" w:hAnsi="Arial" w:cs="Arial"/>
              <w:b/>
              <w:bCs/>
              <w:sz w:val="16"/>
            </w:rPr>
          </w:pPr>
        </w:p>
        <w:p w14:paraId="53540180" w14:textId="77777777" w:rsidR="00044977" w:rsidRDefault="00044977">
          <w:pPr>
            <w:pStyle w:val="Header"/>
            <w:rPr>
              <w:rFonts w:ascii="Arial" w:hAnsi="Arial" w:cs="Arial"/>
              <w:b/>
              <w:bCs/>
            </w:rPr>
          </w:pPr>
          <w:r>
            <w:rPr>
              <w:rFonts w:ascii="Arial" w:hAnsi="Arial" w:cs="Arial"/>
              <w:b/>
              <w:bCs/>
            </w:rPr>
            <w:t>POLICY TITLE:</w:t>
          </w:r>
        </w:p>
      </w:tc>
      <w:tc>
        <w:tcPr>
          <w:tcW w:w="5040" w:type="dxa"/>
        </w:tcPr>
        <w:p w14:paraId="58CA7C31" w14:textId="77777777" w:rsidR="00044977" w:rsidRDefault="00044977">
          <w:pPr>
            <w:pStyle w:val="Header"/>
            <w:rPr>
              <w:rFonts w:ascii="Arial" w:hAnsi="Arial" w:cs="Arial"/>
              <w:b/>
              <w:bCs/>
              <w:sz w:val="16"/>
            </w:rPr>
          </w:pPr>
        </w:p>
        <w:p w14:paraId="6B0B44D5" w14:textId="1FEED01E" w:rsidR="00044977" w:rsidRDefault="00044977" w:rsidP="00044977">
          <w:pPr>
            <w:pStyle w:val="Header"/>
            <w:rPr>
              <w:rFonts w:ascii="Arial" w:hAnsi="Arial" w:cs="Arial"/>
              <w:b/>
              <w:bCs/>
            </w:rPr>
          </w:pPr>
          <w:r>
            <w:rPr>
              <w:rFonts w:ascii="Arial" w:hAnsi="Arial" w:cs="Arial"/>
              <w:b/>
              <w:bCs/>
            </w:rPr>
            <w:t>Electronic Surveillance</w:t>
          </w:r>
        </w:p>
      </w:tc>
      <w:tc>
        <w:tcPr>
          <w:tcW w:w="2380" w:type="dxa"/>
        </w:tcPr>
        <w:p w14:paraId="2A5C81D6" w14:textId="77777777" w:rsidR="00044977" w:rsidRDefault="00044977">
          <w:pPr>
            <w:pStyle w:val="Header"/>
            <w:rPr>
              <w:rFonts w:ascii="Arial" w:hAnsi="Arial" w:cs="Arial"/>
              <w:b/>
              <w:bCs/>
              <w:sz w:val="16"/>
            </w:rPr>
          </w:pPr>
        </w:p>
        <w:p w14:paraId="39EDBC4B" w14:textId="77777777" w:rsidR="00044977" w:rsidRDefault="00044977">
          <w:pPr>
            <w:pStyle w:val="Header"/>
            <w:jc w:val="right"/>
            <w:rPr>
              <w:rFonts w:ascii="Arial" w:hAnsi="Arial" w:cs="Arial"/>
              <w:b/>
              <w:bCs/>
            </w:rPr>
          </w:pPr>
          <w:r>
            <w:rPr>
              <w:rFonts w:ascii="Arial" w:hAnsi="Arial" w:cs="Arial"/>
              <w:b/>
              <w:bCs/>
            </w:rPr>
            <w:t>POLICY NO:  940</w:t>
          </w:r>
        </w:p>
        <w:p w14:paraId="705D6302" w14:textId="08092923" w:rsidR="00044977" w:rsidRDefault="00044977">
          <w:pPr>
            <w:pStyle w:val="Header"/>
            <w:jc w:val="right"/>
            <w:rPr>
              <w:rStyle w:val="PageNumbe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BC75EF">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sidR="003637B4">
            <w:rPr>
              <w:rStyle w:val="PageNumber"/>
              <w:rFonts w:ascii="Arial" w:hAnsi="Arial" w:cs="Arial"/>
              <w:b/>
              <w:bCs/>
            </w:rPr>
            <w:t>2</w:t>
          </w:r>
        </w:p>
        <w:p w14:paraId="49AC34CB" w14:textId="77777777" w:rsidR="00044977" w:rsidRDefault="00044977">
          <w:pPr>
            <w:pStyle w:val="Header"/>
            <w:jc w:val="right"/>
            <w:rPr>
              <w:rFonts w:ascii="Arial" w:hAnsi="Arial" w:cs="Arial"/>
              <w:b/>
              <w:bCs/>
            </w:rPr>
          </w:pPr>
        </w:p>
      </w:tc>
    </w:tr>
  </w:tbl>
  <w:p w14:paraId="2D41EAB3" w14:textId="77777777" w:rsidR="00044977" w:rsidRDefault="00044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647"/>
    <w:multiLevelType w:val="hybridMultilevel"/>
    <w:tmpl w:val="12D6F5C0"/>
    <w:lvl w:ilvl="0" w:tplc="AEB00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84662"/>
    <w:multiLevelType w:val="hybridMultilevel"/>
    <w:tmpl w:val="B3DA4352"/>
    <w:lvl w:ilvl="0" w:tplc="3BDCF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FE"/>
    <w:rsid w:val="00044977"/>
    <w:rsid w:val="00092932"/>
    <w:rsid w:val="000C16CA"/>
    <w:rsid w:val="001169A9"/>
    <w:rsid w:val="001B1623"/>
    <w:rsid w:val="00221F8D"/>
    <w:rsid w:val="00294C2C"/>
    <w:rsid w:val="00324C66"/>
    <w:rsid w:val="003637B4"/>
    <w:rsid w:val="0036687C"/>
    <w:rsid w:val="00455EFE"/>
    <w:rsid w:val="004617F8"/>
    <w:rsid w:val="005943D7"/>
    <w:rsid w:val="005B2FBE"/>
    <w:rsid w:val="0060289F"/>
    <w:rsid w:val="00617425"/>
    <w:rsid w:val="006B4BAF"/>
    <w:rsid w:val="006D3825"/>
    <w:rsid w:val="007A4805"/>
    <w:rsid w:val="00814A52"/>
    <w:rsid w:val="008D6209"/>
    <w:rsid w:val="008E400E"/>
    <w:rsid w:val="0093244F"/>
    <w:rsid w:val="009619E3"/>
    <w:rsid w:val="009A2757"/>
    <w:rsid w:val="009A476D"/>
    <w:rsid w:val="009D3A13"/>
    <w:rsid w:val="00AA482A"/>
    <w:rsid w:val="00AE3150"/>
    <w:rsid w:val="00B17155"/>
    <w:rsid w:val="00B53E9F"/>
    <w:rsid w:val="00BA5D70"/>
    <w:rsid w:val="00BC75EF"/>
    <w:rsid w:val="00DE5544"/>
    <w:rsid w:val="00DF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4"/>
    </w:rPr>
  </w:style>
  <w:style w:type="paragraph" w:styleId="Footer">
    <w:name w:val="footer"/>
    <w:basedOn w:val="Normal"/>
    <w:pPr>
      <w:tabs>
        <w:tab w:val="center" w:pos="4320"/>
        <w:tab w:val="right" w:pos="8640"/>
      </w:tabs>
    </w:pPr>
    <w:rPr>
      <w:szCs w:val="24"/>
    </w:rPr>
  </w:style>
  <w:style w:type="character" w:styleId="PageNumber">
    <w:name w:val="page number"/>
    <w:basedOn w:val="DefaultParagraphFont"/>
  </w:style>
  <w:style w:type="paragraph" w:styleId="BodyText">
    <w:name w:val="Body Text"/>
    <w:basedOn w:val="Normal"/>
    <w:rsid w:val="00455EFE"/>
    <w:rPr>
      <w:i/>
      <w:iCs/>
      <w:szCs w:val="24"/>
    </w:rPr>
  </w:style>
  <w:style w:type="paragraph" w:styleId="BalloonText">
    <w:name w:val="Balloon Text"/>
    <w:basedOn w:val="Normal"/>
    <w:link w:val="BalloonTextChar"/>
    <w:rsid w:val="00216CAF"/>
    <w:rPr>
      <w:rFonts w:ascii="Tahoma" w:hAnsi="Tahoma"/>
      <w:sz w:val="16"/>
      <w:szCs w:val="16"/>
      <w:lang w:val="x-none" w:eastAsia="x-none"/>
    </w:rPr>
  </w:style>
  <w:style w:type="character" w:customStyle="1" w:styleId="BalloonTextChar">
    <w:name w:val="Balloon Text Char"/>
    <w:link w:val="BalloonText"/>
    <w:rsid w:val="00216CAF"/>
    <w:rPr>
      <w:rFonts w:ascii="Tahoma" w:hAnsi="Tahoma" w:cs="Tahoma"/>
      <w:sz w:val="16"/>
      <w:szCs w:val="16"/>
    </w:rPr>
  </w:style>
  <w:style w:type="character" w:styleId="CommentReference">
    <w:name w:val="annotation reference"/>
    <w:rsid w:val="00D1674A"/>
    <w:rPr>
      <w:sz w:val="16"/>
      <w:szCs w:val="16"/>
    </w:rPr>
  </w:style>
  <w:style w:type="paragraph" w:styleId="CommentText">
    <w:name w:val="annotation text"/>
    <w:basedOn w:val="Normal"/>
    <w:link w:val="CommentTextChar"/>
    <w:rsid w:val="00D1674A"/>
    <w:rPr>
      <w:sz w:val="20"/>
    </w:rPr>
  </w:style>
  <w:style w:type="character" w:customStyle="1" w:styleId="CommentTextChar">
    <w:name w:val="Comment Text Char"/>
    <w:basedOn w:val="DefaultParagraphFont"/>
    <w:link w:val="CommentText"/>
    <w:rsid w:val="00D1674A"/>
  </w:style>
  <w:style w:type="paragraph" w:styleId="CommentSubject">
    <w:name w:val="annotation subject"/>
    <w:basedOn w:val="CommentText"/>
    <w:next w:val="CommentText"/>
    <w:link w:val="CommentSubjectChar"/>
    <w:rsid w:val="00D1674A"/>
    <w:rPr>
      <w:b/>
      <w:bCs/>
      <w:lang w:val="x-none" w:eastAsia="x-none"/>
    </w:rPr>
  </w:style>
  <w:style w:type="character" w:customStyle="1" w:styleId="CommentSubjectChar">
    <w:name w:val="Comment Subject Char"/>
    <w:link w:val="CommentSubject"/>
    <w:rsid w:val="00D1674A"/>
    <w:rPr>
      <w:b/>
      <w:bCs/>
    </w:rPr>
  </w:style>
  <w:style w:type="paragraph" w:customStyle="1" w:styleId="ColorfulShading-Accent11">
    <w:name w:val="Colorful Shading - Accent 11"/>
    <w:hidden/>
    <w:uiPriority w:val="99"/>
    <w:semiHidden/>
    <w:rsid w:val="00D1674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4"/>
    </w:rPr>
  </w:style>
  <w:style w:type="paragraph" w:styleId="Footer">
    <w:name w:val="footer"/>
    <w:basedOn w:val="Normal"/>
    <w:pPr>
      <w:tabs>
        <w:tab w:val="center" w:pos="4320"/>
        <w:tab w:val="right" w:pos="8640"/>
      </w:tabs>
    </w:pPr>
    <w:rPr>
      <w:szCs w:val="24"/>
    </w:rPr>
  </w:style>
  <w:style w:type="character" w:styleId="PageNumber">
    <w:name w:val="page number"/>
    <w:basedOn w:val="DefaultParagraphFont"/>
  </w:style>
  <w:style w:type="paragraph" w:styleId="BodyText">
    <w:name w:val="Body Text"/>
    <w:basedOn w:val="Normal"/>
    <w:rsid w:val="00455EFE"/>
    <w:rPr>
      <w:i/>
      <w:iCs/>
      <w:szCs w:val="24"/>
    </w:rPr>
  </w:style>
  <w:style w:type="paragraph" w:styleId="BalloonText">
    <w:name w:val="Balloon Text"/>
    <w:basedOn w:val="Normal"/>
    <w:link w:val="BalloonTextChar"/>
    <w:rsid w:val="00216CAF"/>
    <w:rPr>
      <w:rFonts w:ascii="Tahoma" w:hAnsi="Tahoma"/>
      <w:sz w:val="16"/>
      <w:szCs w:val="16"/>
      <w:lang w:val="x-none" w:eastAsia="x-none"/>
    </w:rPr>
  </w:style>
  <w:style w:type="character" w:customStyle="1" w:styleId="BalloonTextChar">
    <w:name w:val="Balloon Text Char"/>
    <w:link w:val="BalloonText"/>
    <w:rsid w:val="00216CAF"/>
    <w:rPr>
      <w:rFonts w:ascii="Tahoma" w:hAnsi="Tahoma" w:cs="Tahoma"/>
      <w:sz w:val="16"/>
      <w:szCs w:val="16"/>
    </w:rPr>
  </w:style>
  <w:style w:type="character" w:styleId="CommentReference">
    <w:name w:val="annotation reference"/>
    <w:rsid w:val="00D1674A"/>
    <w:rPr>
      <w:sz w:val="16"/>
      <w:szCs w:val="16"/>
    </w:rPr>
  </w:style>
  <w:style w:type="paragraph" w:styleId="CommentText">
    <w:name w:val="annotation text"/>
    <w:basedOn w:val="Normal"/>
    <w:link w:val="CommentTextChar"/>
    <w:rsid w:val="00D1674A"/>
    <w:rPr>
      <w:sz w:val="20"/>
    </w:rPr>
  </w:style>
  <w:style w:type="character" w:customStyle="1" w:styleId="CommentTextChar">
    <w:name w:val="Comment Text Char"/>
    <w:basedOn w:val="DefaultParagraphFont"/>
    <w:link w:val="CommentText"/>
    <w:rsid w:val="00D1674A"/>
  </w:style>
  <w:style w:type="paragraph" w:styleId="CommentSubject">
    <w:name w:val="annotation subject"/>
    <w:basedOn w:val="CommentText"/>
    <w:next w:val="CommentText"/>
    <w:link w:val="CommentSubjectChar"/>
    <w:rsid w:val="00D1674A"/>
    <w:rPr>
      <w:b/>
      <w:bCs/>
      <w:lang w:val="x-none" w:eastAsia="x-none"/>
    </w:rPr>
  </w:style>
  <w:style w:type="character" w:customStyle="1" w:styleId="CommentSubjectChar">
    <w:name w:val="Comment Subject Char"/>
    <w:link w:val="CommentSubject"/>
    <w:rsid w:val="00D1674A"/>
    <w:rPr>
      <w:b/>
      <w:bCs/>
    </w:rPr>
  </w:style>
  <w:style w:type="paragraph" w:customStyle="1" w:styleId="ColorfulShading-Accent11">
    <w:name w:val="Colorful Shading - Accent 11"/>
    <w:hidden/>
    <w:uiPriority w:val="99"/>
    <w:semiHidden/>
    <w:rsid w:val="00D167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64646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Insert</vt:lpstr>
    </vt:vector>
  </TitlesOfParts>
  <Company>Eberharter-Maki</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dc:title>
  <dc:creator>Carla J. Young</dc:creator>
  <cp:lastModifiedBy>Emily Obenchain</cp:lastModifiedBy>
  <cp:revision>2</cp:revision>
  <cp:lastPrinted>2015-10-09T18:46:00Z</cp:lastPrinted>
  <dcterms:created xsi:type="dcterms:W3CDTF">2015-10-09T18:47:00Z</dcterms:created>
  <dcterms:modified xsi:type="dcterms:W3CDTF">2015-10-09T18:47:00Z</dcterms:modified>
</cp:coreProperties>
</file>